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29FFB"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8"/>
        <w:gridCol w:w="1701"/>
        <w:gridCol w:w="5103"/>
        <w:gridCol w:w="1417"/>
        <w:gridCol w:w="5187"/>
      </w:tblGrid>
      <w:tr w:rsidR="00A06425" w:rsidRPr="00A06425" w14:paraId="06AEFBDB" w14:textId="77777777" w:rsidTr="00A06425">
        <w:tc>
          <w:tcPr>
            <w:tcW w:w="15388" w:type="dxa"/>
            <w:gridSpan w:val="6"/>
            <w:shd w:val="clear" w:color="auto" w:fill="auto"/>
            <w:vAlign w:val="center"/>
          </w:tcPr>
          <w:p w14:paraId="7D6FDC26" w14:textId="77777777" w:rsidR="00170F99" w:rsidRDefault="00A06425" w:rsidP="00F56D81">
            <w:pPr>
              <w:autoSpaceDE w:val="0"/>
              <w:autoSpaceDN w:val="0"/>
              <w:adjustRightInd w:val="0"/>
              <w:rPr>
                <w:rFonts w:asciiTheme="minorHAnsi" w:hAnsiTheme="minorHAnsi" w:cstheme="minorHAnsi"/>
                <w:b/>
                <w:iCs/>
                <w:sz w:val="22"/>
                <w:szCs w:val="22"/>
              </w:rPr>
            </w:pPr>
            <w:r w:rsidRPr="007F41D9">
              <w:rPr>
                <w:rFonts w:asciiTheme="minorHAnsi" w:hAnsiTheme="minorHAnsi" w:cstheme="minorHAnsi"/>
                <w:b/>
                <w:iCs/>
                <w:sz w:val="22"/>
                <w:szCs w:val="22"/>
              </w:rPr>
              <w:t>Nazwa dokumentu:</w:t>
            </w:r>
            <w:r w:rsidR="00344FFC" w:rsidRPr="007F41D9">
              <w:rPr>
                <w:rFonts w:asciiTheme="minorHAnsi" w:hAnsiTheme="minorHAnsi" w:cstheme="minorHAnsi"/>
                <w:b/>
                <w:iCs/>
                <w:sz w:val="22"/>
                <w:szCs w:val="22"/>
              </w:rPr>
              <w:t xml:space="preserve"> </w:t>
            </w:r>
          </w:p>
          <w:p w14:paraId="1D642594" w14:textId="77777777" w:rsidR="00E00B7F" w:rsidRDefault="00E00B7F" w:rsidP="00FA3144">
            <w:pPr>
              <w:autoSpaceDE w:val="0"/>
              <w:autoSpaceDN w:val="0"/>
              <w:adjustRightInd w:val="0"/>
              <w:rPr>
                <w:rFonts w:asciiTheme="minorHAnsi" w:hAnsiTheme="minorHAnsi" w:cstheme="minorHAnsi"/>
                <w:bCs/>
                <w:iCs/>
                <w:sz w:val="22"/>
                <w:szCs w:val="22"/>
              </w:rPr>
            </w:pPr>
            <w:r w:rsidRPr="00E00B7F">
              <w:rPr>
                <w:rFonts w:asciiTheme="minorHAnsi" w:hAnsiTheme="minorHAnsi" w:cstheme="minorHAnsi"/>
                <w:bCs/>
                <w:iCs/>
                <w:sz w:val="22"/>
                <w:szCs w:val="22"/>
              </w:rPr>
              <w:t>projekt ustawy o zmianie ustawy o statystyce publicznej oraz niektórych innych ustaw (UD12)</w:t>
            </w:r>
            <w:r>
              <w:rPr>
                <w:rFonts w:asciiTheme="minorHAnsi" w:hAnsiTheme="minorHAnsi" w:cstheme="minorHAnsi"/>
                <w:bCs/>
                <w:iCs/>
                <w:sz w:val="22"/>
                <w:szCs w:val="22"/>
              </w:rPr>
              <w:t>.</w:t>
            </w:r>
          </w:p>
          <w:p w14:paraId="748AAA2A" w14:textId="017FC2E3" w:rsidR="00C409F9" w:rsidRPr="00FA3144" w:rsidRDefault="00C409F9" w:rsidP="00FA3144">
            <w:pPr>
              <w:autoSpaceDE w:val="0"/>
              <w:autoSpaceDN w:val="0"/>
              <w:adjustRightInd w:val="0"/>
              <w:rPr>
                <w:rFonts w:asciiTheme="minorHAnsi" w:hAnsiTheme="minorHAnsi" w:cstheme="minorHAnsi"/>
                <w:bCs/>
                <w:iCs/>
                <w:sz w:val="22"/>
                <w:szCs w:val="22"/>
              </w:rPr>
            </w:pPr>
          </w:p>
        </w:tc>
      </w:tr>
      <w:tr w:rsidR="00A06425" w:rsidRPr="00A06425" w14:paraId="19942368" w14:textId="77777777" w:rsidTr="00D4447A">
        <w:tc>
          <w:tcPr>
            <w:tcW w:w="562" w:type="dxa"/>
            <w:shd w:val="clear" w:color="auto" w:fill="auto"/>
            <w:vAlign w:val="center"/>
          </w:tcPr>
          <w:p w14:paraId="0200B7EF"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418" w:type="dxa"/>
            <w:shd w:val="clear" w:color="auto" w:fill="auto"/>
            <w:vAlign w:val="center"/>
          </w:tcPr>
          <w:p w14:paraId="709D0837"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701" w:type="dxa"/>
            <w:shd w:val="clear" w:color="auto" w:fill="auto"/>
            <w:vAlign w:val="center"/>
          </w:tcPr>
          <w:p w14:paraId="53510F42"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5103" w:type="dxa"/>
            <w:shd w:val="clear" w:color="auto" w:fill="auto"/>
            <w:vAlign w:val="center"/>
          </w:tcPr>
          <w:p w14:paraId="67C32952"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1417" w:type="dxa"/>
            <w:shd w:val="clear" w:color="auto" w:fill="auto"/>
            <w:vAlign w:val="center"/>
          </w:tcPr>
          <w:p w14:paraId="45152088"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5187" w:type="dxa"/>
            <w:vAlign w:val="center"/>
          </w:tcPr>
          <w:p w14:paraId="568DD0E7"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4611EEF2" w14:textId="77777777" w:rsidTr="00D4447A">
        <w:tc>
          <w:tcPr>
            <w:tcW w:w="562" w:type="dxa"/>
            <w:shd w:val="clear" w:color="auto" w:fill="auto"/>
          </w:tcPr>
          <w:p w14:paraId="631F1F6D" w14:textId="61B7F914" w:rsidR="00A06425" w:rsidRPr="00DA3990" w:rsidRDefault="00A06425" w:rsidP="00657810">
            <w:pPr>
              <w:spacing w:before="120"/>
              <w:jc w:val="center"/>
              <w:rPr>
                <w:rFonts w:asciiTheme="minorHAnsi" w:hAnsiTheme="minorHAnsi" w:cstheme="minorHAnsi"/>
                <w:bCs/>
                <w:sz w:val="22"/>
                <w:szCs w:val="22"/>
              </w:rPr>
            </w:pPr>
            <w:r w:rsidRPr="00DA3990">
              <w:rPr>
                <w:rFonts w:asciiTheme="minorHAnsi" w:hAnsiTheme="minorHAnsi" w:cstheme="minorHAnsi"/>
                <w:bCs/>
                <w:sz w:val="22"/>
                <w:szCs w:val="22"/>
              </w:rPr>
              <w:t>1</w:t>
            </w:r>
            <w:r w:rsidR="002A34A5" w:rsidRPr="00DA3990">
              <w:rPr>
                <w:rFonts w:asciiTheme="minorHAnsi" w:hAnsiTheme="minorHAnsi" w:cstheme="minorHAnsi"/>
                <w:bCs/>
                <w:sz w:val="22"/>
                <w:szCs w:val="22"/>
              </w:rPr>
              <w:t>.</w:t>
            </w:r>
          </w:p>
        </w:tc>
        <w:tc>
          <w:tcPr>
            <w:tcW w:w="1418" w:type="dxa"/>
            <w:shd w:val="clear" w:color="auto" w:fill="auto"/>
          </w:tcPr>
          <w:p w14:paraId="3C057FD9" w14:textId="1BE76ECE" w:rsidR="00A06425" w:rsidRPr="00DA3990" w:rsidRDefault="00344FFC" w:rsidP="00657810">
            <w:pPr>
              <w:spacing w:before="120"/>
              <w:jc w:val="center"/>
              <w:rPr>
                <w:rFonts w:asciiTheme="minorHAnsi" w:hAnsiTheme="minorHAnsi" w:cstheme="minorHAnsi"/>
                <w:bCs/>
                <w:sz w:val="22"/>
                <w:szCs w:val="22"/>
              </w:rPr>
            </w:pPr>
            <w:r w:rsidRPr="00DA3990">
              <w:rPr>
                <w:rFonts w:asciiTheme="minorHAnsi" w:hAnsiTheme="minorHAnsi" w:cstheme="minorHAnsi"/>
                <w:bCs/>
                <w:sz w:val="22"/>
                <w:szCs w:val="22"/>
              </w:rPr>
              <w:t>MF</w:t>
            </w:r>
          </w:p>
        </w:tc>
        <w:tc>
          <w:tcPr>
            <w:tcW w:w="1701" w:type="dxa"/>
            <w:shd w:val="clear" w:color="auto" w:fill="auto"/>
          </w:tcPr>
          <w:p w14:paraId="586DDA40" w14:textId="75726D7B" w:rsidR="00657810" w:rsidRDefault="00FA3144" w:rsidP="00657810">
            <w:pPr>
              <w:spacing w:before="120"/>
              <w:jc w:val="center"/>
              <w:rPr>
                <w:rFonts w:asciiTheme="minorHAnsi" w:hAnsiTheme="minorHAnsi" w:cstheme="minorHAnsi"/>
                <w:sz w:val="22"/>
                <w:szCs w:val="22"/>
              </w:rPr>
            </w:pPr>
            <w:r>
              <w:rPr>
                <w:rFonts w:asciiTheme="minorHAnsi" w:hAnsiTheme="minorHAnsi" w:cstheme="minorHAnsi"/>
                <w:sz w:val="22"/>
                <w:szCs w:val="22"/>
              </w:rPr>
              <w:t>OSR</w:t>
            </w:r>
          </w:p>
          <w:p w14:paraId="79234D80" w14:textId="77777777" w:rsidR="00657810" w:rsidRDefault="00657810" w:rsidP="00657810">
            <w:pPr>
              <w:spacing w:before="120"/>
              <w:jc w:val="center"/>
              <w:rPr>
                <w:rFonts w:asciiTheme="minorHAnsi" w:hAnsiTheme="minorHAnsi" w:cstheme="minorHAnsi"/>
                <w:sz w:val="22"/>
                <w:szCs w:val="22"/>
              </w:rPr>
            </w:pPr>
          </w:p>
          <w:p w14:paraId="3A068D36" w14:textId="095ABD78" w:rsidR="00657810" w:rsidRPr="00A06425" w:rsidRDefault="00657810" w:rsidP="00657810">
            <w:pPr>
              <w:spacing w:before="120"/>
              <w:jc w:val="center"/>
              <w:rPr>
                <w:rFonts w:asciiTheme="minorHAnsi" w:hAnsiTheme="minorHAnsi" w:cstheme="minorHAnsi"/>
                <w:sz w:val="22"/>
                <w:szCs w:val="22"/>
              </w:rPr>
            </w:pPr>
          </w:p>
        </w:tc>
        <w:tc>
          <w:tcPr>
            <w:tcW w:w="5103" w:type="dxa"/>
            <w:shd w:val="clear" w:color="auto" w:fill="auto"/>
          </w:tcPr>
          <w:p w14:paraId="2289CB78" w14:textId="555C33A2" w:rsidR="00851B40" w:rsidRPr="00851B40" w:rsidRDefault="00851B40" w:rsidP="00851B40">
            <w:pPr>
              <w:jc w:val="both"/>
              <w:rPr>
                <w:rFonts w:asciiTheme="minorHAnsi" w:hAnsiTheme="minorHAnsi" w:cstheme="minorHAnsi"/>
                <w:sz w:val="22"/>
                <w:szCs w:val="22"/>
              </w:rPr>
            </w:pPr>
            <w:r w:rsidRPr="00851B40">
              <w:rPr>
                <w:rFonts w:asciiTheme="minorHAnsi" w:hAnsiTheme="minorHAnsi" w:cstheme="minorHAnsi"/>
                <w:sz w:val="22"/>
                <w:szCs w:val="22"/>
              </w:rPr>
              <w:t xml:space="preserve">W pkt 6 OSR w poz. „Dodatkowe informacje…” projektodawca zawarł informacje, zgodnie z którymi: „Projektowana  zmiana dotycząca zwolnienia wniosku o wykreślenie przedmiotu działalności według dotychczasowej Polskiej Klasyfikacji Działalności </w:t>
            </w:r>
            <w:r w:rsidR="00D12C58">
              <w:rPr>
                <w:rFonts w:asciiTheme="minorHAnsi" w:hAnsiTheme="minorHAnsi" w:cstheme="minorHAnsi"/>
                <w:sz w:val="22"/>
                <w:szCs w:val="22"/>
              </w:rPr>
              <w:br/>
            </w:r>
            <w:r w:rsidRPr="00851B40">
              <w:rPr>
                <w:rFonts w:asciiTheme="minorHAnsi" w:hAnsiTheme="minorHAnsi" w:cstheme="minorHAnsi"/>
                <w:sz w:val="22"/>
                <w:szCs w:val="22"/>
              </w:rPr>
              <w:t xml:space="preserve">i wpisanie przedmiotu działalności według wprowadzanej albo zmienianej Polskiej Klasyfikacji Działalności, złożonego w okresie równoczesnego stosowania dotychczasowej i wprowadzanej albo zmienianej klasyfikacji, z opłaty sądowej i opłaty za ogłoszenie w Monitorze Sądowym o Gospodarczym (wprowadzany art. 20e ust. 3 ustawy o KRS), może wygenerować od 651 769 do 728 853 nowych spraw, dla których może mieć zastosowanie zwolnienie z ww. opłat (250 zł za wpis do KRS + 100 zł za ogłoszenie w Monitorze Sądowym o Gospodarczym), powodując w konsekwencji  zmniejszenie dochodów w części 15 budżetu państwa – Sądy powszechne. Ministerstwo Sprawiedliwości wskazuje, że szacunkowa łączna kwota zmniejszenia dochodów w części 15 budżetu państwa – Sądy powszechne z tytułu ww. zwolnień w opłatach to iloczyn liczby podmiotów uprawnionych do zwolnienia (liczby spraw) oraz kwoty 350 zł – przyjmując zatem do obliczeń średnią  liczbę 700 000 spraw i kwotę 350 zł </w:t>
            </w:r>
            <w:r w:rsidR="00606F0D">
              <w:rPr>
                <w:rFonts w:asciiTheme="minorHAnsi" w:hAnsiTheme="minorHAnsi" w:cstheme="minorHAnsi"/>
                <w:sz w:val="22"/>
                <w:szCs w:val="22"/>
              </w:rPr>
              <w:br/>
            </w:r>
            <w:r w:rsidRPr="00851B40">
              <w:rPr>
                <w:rFonts w:asciiTheme="minorHAnsi" w:hAnsiTheme="minorHAnsi" w:cstheme="minorHAnsi"/>
                <w:sz w:val="22"/>
                <w:szCs w:val="22"/>
              </w:rPr>
              <w:t xml:space="preserve">– szacunkowe maksymalne dochody niezrealizowane w części 15 budżetu państwa mogłoby wynieść 245 000 000 zł (245 mln zł).”. </w:t>
            </w:r>
          </w:p>
          <w:p w14:paraId="1B4F8F57" w14:textId="648C2440" w:rsidR="00851B40" w:rsidRPr="00851B40" w:rsidRDefault="00851B40" w:rsidP="00851B40">
            <w:pPr>
              <w:jc w:val="both"/>
              <w:rPr>
                <w:rFonts w:asciiTheme="minorHAnsi" w:hAnsiTheme="minorHAnsi" w:cstheme="minorHAnsi"/>
                <w:sz w:val="22"/>
                <w:szCs w:val="22"/>
              </w:rPr>
            </w:pPr>
            <w:r w:rsidRPr="00851B40">
              <w:rPr>
                <w:rFonts w:asciiTheme="minorHAnsi" w:hAnsiTheme="minorHAnsi" w:cstheme="minorHAnsi"/>
                <w:sz w:val="22"/>
                <w:szCs w:val="22"/>
              </w:rPr>
              <w:t xml:space="preserve">Uwzględniając powyższe, zdaniem </w:t>
            </w:r>
            <w:r>
              <w:rPr>
                <w:rFonts w:asciiTheme="minorHAnsi" w:hAnsiTheme="minorHAnsi" w:cstheme="minorHAnsi"/>
                <w:sz w:val="22"/>
                <w:szCs w:val="22"/>
              </w:rPr>
              <w:t>Ministerstwa Finansów</w:t>
            </w:r>
            <w:r w:rsidRPr="00851B40">
              <w:rPr>
                <w:rFonts w:asciiTheme="minorHAnsi" w:hAnsiTheme="minorHAnsi" w:cstheme="minorHAnsi"/>
                <w:sz w:val="22"/>
                <w:szCs w:val="22"/>
              </w:rPr>
              <w:t xml:space="preserve">, powyższa zmiana powodująca zmniejszenie </w:t>
            </w:r>
            <w:r w:rsidRPr="00851B40">
              <w:rPr>
                <w:rFonts w:asciiTheme="minorHAnsi" w:hAnsiTheme="minorHAnsi" w:cstheme="minorHAnsi"/>
                <w:sz w:val="22"/>
                <w:szCs w:val="22"/>
              </w:rPr>
              <w:lastRenderedPageBreak/>
              <w:t xml:space="preserve">dochodów budżetu państwa powinna znaleźć swoje odzwierciedlenie w Tabeli głównej pkt 6 OSR w części poświęconej dochodom budżetu państwa, przy jednoczesnym właściwym zbilansowaniu tych skutków po stronie salda ostatecznego wpływu na sektor finansów publicznych (zwłaszcza, że projektodawca dokonał szacunkowych obliczeń związanych z realizacją ww. propozycji).  </w:t>
            </w:r>
          </w:p>
          <w:p w14:paraId="2864213E" w14:textId="563AC0CA" w:rsidR="00EB58DD" w:rsidRPr="00A06425" w:rsidRDefault="00851B40" w:rsidP="00851B40">
            <w:pPr>
              <w:jc w:val="both"/>
              <w:rPr>
                <w:rFonts w:asciiTheme="minorHAnsi" w:hAnsiTheme="minorHAnsi" w:cstheme="minorHAnsi"/>
                <w:sz w:val="22"/>
                <w:szCs w:val="22"/>
              </w:rPr>
            </w:pPr>
            <w:r w:rsidRPr="00851B40">
              <w:rPr>
                <w:rFonts w:asciiTheme="minorHAnsi" w:hAnsiTheme="minorHAnsi" w:cstheme="minorHAnsi"/>
                <w:sz w:val="22"/>
                <w:szCs w:val="22"/>
              </w:rPr>
              <w:t xml:space="preserve">Ponadto, należy mieć na względzie, iż wprowadzanie regulacji powodujących zmniejszenie dochodów budżetu prowadzi, </w:t>
            </w:r>
            <w:proofErr w:type="spellStart"/>
            <w:r w:rsidRPr="00851B40">
              <w:rPr>
                <w:rFonts w:asciiTheme="minorHAnsi" w:hAnsiTheme="minorHAnsi" w:cstheme="minorHAnsi"/>
                <w:sz w:val="22"/>
                <w:szCs w:val="22"/>
              </w:rPr>
              <w:t>ceteris</w:t>
            </w:r>
            <w:proofErr w:type="spellEnd"/>
            <w:r w:rsidRPr="00851B40">
              <w:rPr>
                <w:rFonts w:asciiTheme="minorHAnsi" w:hAnsiTheme="minorHAnsi" w:cstheme="minorHAnsi"/>
                <w:sz w:val="22"/>
                <w:szCs w:val="22"/>
              </w:rPr>
              <w:t xml:space="preserve"> paribus, do wzrostu deficytu budżetu państwa, a tym samym wzrostu kosztów obsługi długu Skarbu Państwa oraz spadku dostępnej przestrzeni fiskalnej na finansowanie dotychczasowych i nowych zadań wyznaczanej przez stabilizującą regułę wydatkową (SRW) dla podmiotów objętych limitem wydatków SRW.</w:t>
            </w:r>
          </w:p>
        </w:tc>
        <w:tc>
          <w:tcPr>
            <w:tcW w:w="1417" w:type="dxa"/>
            <w:shd w:val="clear" w:color="auto" w:fill="auto"/>
          </w:tcPr>
          <w:p w14:paraId="245C0C16" w14:textId="62579804" w:rsidR="00A06425" w:rsidRPr="00A06425" w:rsidRDefault="00EB58DD" w:rsidP="00CE275C">
            <w:pPr>
              <w:jc w:val="both"/>
              <w:rPr>
                <w:rFonts w:asciiTheme="minorHAnsi" w:hAnsiTheme="minorHAnsi" w:cstheme="minorHAnsi"/>
                <w:sz w:val="22"/>
                <w:szCs w:val="22"/>
              </w:rPr>
            </w:pPr>
            <w:r>
              <w:rPr>
                <w:rFonts w:asciiTheme="minorHAnsi" w:hAnsiTheme="minorHAnsi" w:cstheme="minorHAnsi"/>
                <w:sz w:val="22"/>
                <w:szCs w:val="22"/>
              </w:rPr>
              <w:lastRenderedPageBreak/>
              <w:t xml:space="preserve">Korekta </w:t>
            </w:r>
            <w:r w:rsidR="001B7929">
              <w:rPr>
                <w:rFonts w:asciiTheme="minorHAnsi" w:hAnsiTheme="minorHAnsi" w:cstheme="minorHAnsi"/>
                <w:sz w:val="22"/>
                <w:szCs w:val="22"/>
              </w:rPr>
              <w:t>OSR</w:t>
            </w:r>
            <w:r>
              <w:rPr>
                <w:rFonts w:asciiTheme="minorHAnsi" w:hAnsiTheme="minorHAnsi" w:cstheme="minorHAnsi"/>
                <w:sz w:val="22"/>
                <w:szCs w:val="22"/>
              </w:rPr>
              <w:t xml:space="preserve"> we wskazanym zakresie.</w:t>
            </w:r>
          </w:p>
        </w:tc>
        <w:tc>
          <w:tcPr>
            <w:tcW w:w="5187" w:type="dxa"/>
          </w:tcPr>
          <w:p w14:paraId="6B28DD45" w14:textId="3C51176C" w:rsidR="00A06425" w:rsidRPr="00606F0D" w:rsidRDefault="005C007A" w:rsidP="00CE275C">
            <w:pPr>
              <w:jc w:val="both"/>
              <w:rPr>
                <w:rFonts w:asciiTheme="minorHAnsi" w:hAnsiTheme="minorHAnsi" w:cstheme="minorHAnsi"/>
                <w:b/>
                <w:sz w:val="22"/>
                <w:szCs w:val="22"/>
              </w:rPr>
            </w:pPr>
            <w:r w:rsidRPr="00606F0D">
              <w:rPr>
                <w:rFonts w:asciiTheme="minorHAnsi" w:hAnsiTheme="minorHAnsi" w:cstheme="minorHAnsi"/>
                <w:b/>
                <w:sz w:val="22"/>
                <w:szCs w:val="22"/>
              </w:rPr>
              <w:t>Wyjaśnienie</w:t>
            </w:r>
            <w:r w:rsidR="00606F0D">
              <w:rPr>
                <w:rFonts w:asciiTheme="minorHAnsi" w:hAnsiTheme="minorHAnsi" w:cstheme="minorHAnsi"/>
                <w:b/>
                <w:sz w:val="22"/>
                <w:szCs w:val="22"/>
              </w:rPr>
              <w:t>:</w:t>
            </w:r>
          </w:p>
          <w:p w14:paraId="155AC4D5" w14:textId="0DFC5D1C" w:rsidR="005C007A" w:rsidRDefault="005C007A" w:rsidP="00CE275C">
            <w:pPr>
              <w:jc w:val="both"/>
              <w:rPr>
                <w:rFonts w:asciiTheme="minorHAnsi" w:hAnsiTheme="minorHAnsi" w:cstheme="minorHAnsi"/>
                <w:sz w:val="22"/>
                <w:szCs w:val="22"/>
              </w:rPr>
            </w:pPr>
            <w:r>
              <w:rPr>
                <w:rFonts w:asciiTheme="minorHAnsi" w:hAnsiTheme="minorHAnsi" w:cstheme="minorHAnsi"/>
                <w:sz w:val="22"/>
                <w:szCs w:val="22"/>
              </w:rPr>
              <w:t xml:space="preserve">Uzupełniono OSR o dodatkową informacje przekazaną w trybie roboczym przez Ministerstwo Sprawiedliwości </w:t>
            </w:r>
          </w:p>
          <w:p w14:paraId="7A48632F" w14:textId="3BB9DD3C" w:rsidR="005C007A" w:rsidRPr="00A06425" w:rsidRDefault="005C007A" w:rsidP="00CE275C">
            <w:pPr>
              <w:jc w:val="both"/>
              <w:rPr>
                <w:rFonts w:asciiTheme="minorHAnsi" w:hAnsiTheme="minorHAnsi" w:cstheme="minorHAnsi"/>
                <w:sz w:val="22"/>
                <w:szCs w:val="22"/>
              </w:rPr>
            </w:pPr>
            <w:r w:rsidRPr="005C007A">
              <w:rPr>
                <w:rFonts w:asciiTheme="minorHAnsi" w:hAnsiTheme="minorHAnsi" w:cstheme="minorHAnsi"/>
                <w:sz w:val="22"/>
                <w:szCs w:val="22"/>
              </w:rPr>
              <w:t xml:space="preserve">Liczba podmiotów, których będą dotyczyły regulacje proponowane w przedmiotowym projekcie nie jest możliwa do precyzyjnego oszacowania, gdyż dotyczy przyszłych zmian klasyfikacji PKD oraz stanu wpisów w Krajowym Rejestrze Sądowym na koniec 2026 r. </w:t>
            </w:r>
            <w:r w:rsidR="00095E35">
              <w:rPr>
                <w:rFonts w:asciiTheme="minorHAnsi" w:hAnsiTheme="minorHAnsi" w:cstheme="minorHAnsi"/>
                <w:sz w:val="22"/>
                <w:szCs w:val="22"/>
              </w:rPr>
              <w:br/>
            </w:r>
            <w:r w:rsidRPr="005C007A">
              <w:rPr>
                <w:rFonts w:asciiTheme="minorHAnsi" w:hAnsiTheme="minorHAnsi" w:cstheme="minorHAnsi"/>
                <w:sz w:val="22"/>
                <w:szCs w:val="22"/>
              </w:rPr>
              <w:t xml:space="preserve">W szczególności nie jest możliwe precyzyjne oszacowanie liczby wpisów przedmiotu działalności niepodlegających automatycznemu przeklasyfikowaniu na koniec 2026 r. oraz niezmienionych przez sam podmiot rejestrowy w latach 2025 - 2026. Potencjalnie zmiany mogą dotyczyć ok. 720 000 przedsiębiorców wpisanych do Krajowego Rejestru Sądowego (stan na dzień 30.09.2024 r.). Jednakże pomimo długotrwałych prac legislacyjnych </w:t>
            </w:r>
            <w:r w:rsidR="00095E35">
              <w:rPr>
                <w:rFonts w:asciiTheme="minorHAnsi" w:hAnsiTheme="minorHAnsi" w:cstheme="minorHAnsi"/>
                <w:sz w:val="22"/>
                <w:szCs w:val="22"/>
              </w:rPr>
              <w:t xml:space="preserve">Ministerstwu Sprawiedliwości </w:t>
            </w:r>
            <w:r w:rsidRPr="005C007A">
              <w:rPr>
                <w:rFonts w:asciiTheme="minorHAnsi" w:hAnsiTheme="minorHAnsi" w:cstheme="minorHAnsi"/>
                <w:sz w:val="22"/>
                <w:szCs w:val="22"/>
              </w:rPr>
              <w:t xml:space="preserve">nie udało się w przybliżeniu oszacować jakiej liczby podmiotów może dotyczyć zakres postępowań z urzędu z uwagi na nieaktualne wpisy. Trudna do przewidzenia jest reakcja aktywnych podmiotów gospodarczych na możliwość samodzielnej aktualizacji przedmiotu działalności, jak również trudny do oszacowania jest rezultat automatycznego przeklasyfikowania kodów, który nastąpi po okresie przejściowym obowiązywania nowych przepisów. Zatem wskazana kwota zmniejszenia dochodów – z uwagi na brak precyzyjnych danych </w:t>
            </w:r>
            <w:r w:rsidR="00095E35">
              <w:rPr>
                <w:rFonts w:asciiTheme="minorHAnsi" w:hAnsiTheme="minorHAnsi" w:cstheme="minorHAnsi"/>
                <w:sz w:val="22"/>
                <w:szCs w:val="22"/>
              </w:rPr>
              <w:t xml:space="preserve">– </w:t>
            </w:r>
            <w:r w:rsidRPr="005C007A">
              <w:rPr>
                <w:rFonts w:asciiTheme="minorHAnsi" w:hAnsiTheme="minorHAnsi" w:cstheme="minorHAnsi"/>
                <w:sz w:val="22"/>
                <w:szCs w:val="22"/>
              </w:rPr>
              <w:t>jest hipotetyczna.</w:t>
            </w:r>
          </w:p>
        </w:tc>
      </w:tr>
      <w:tr w:rsidR="00C82261" w:rsidRPr="00A06425" w14:paraId="003EFDFD" w14:textId="77777777" w:rsidTr="00D4447A">
        <w:tc>
          <w:tcPr>
            <w:tcW w:w="562" w:type="dxa"/>
            <w:shd w:val="clear" w:color="auto" w:fill="auto"/>
          </w:tcPr>
          <w:p w14:paraId="6228CAEC" w14:textId="75F8EAE7" w:rsidR="00C82261" w:rsidRPr="00DA3990" w:rsidRDefault="00C82261" w:rsidP="00C82261">
            <w:pPr>
              <w:spacing w:before="120"/>
              <w:jc w:val="center"/>
              <w:rPr>
                <w:rFonts w:asciiTheme="minorHAnsi" w:hAnsiTheme="minorHAnsi" w:cstheme="minorHAnsi"/>
                <w:bCs/>
                <w:sz w:val="22"/>
                <w:szCs w:val="22"/>
              </w:rPr>
            </w:pPr>
            <w:r w:rsidRPr="00DA3990">
              <w:rPr>
                <w:rFonts w:asciiTheme="minorHAnsi" w:hAnsiTheme="minorHAnsi" w:cstheme="minorHAnsi"/>
                <w:bCs/>
                <w:sz w:val="22"/>
                <w:szCs w:val="22"/>
              </w:rPr>
              <w:t>2.</w:t>
            </w:r>
          </w:p>
        </w:tc>
        <w:tc>
          <w:tcPr>
            <w:tcW w:w="1418" w:type="dxa"/>
            <w:shd w:val="clear" w:color="auto" w:fill="auto"/>
          </w:tcPr>
          <w:p w14:paraId="51FDB359" w14:textId="04D5BFAD" w:rsidR="00C82261" w:rsidRPr="00DA3990" w:rsidRDefault="00C82261" w:rsidP="00C82261">
            <w:pPr>
              <w:spacing w:before="120"/>
              <w:jc w:val="center"/>
              <w:rPr>
                <w:rFonts w:asciiTheme="minorHAnsi" w:hAnsiTheme="minorHAnsi" w:cstheme="minorHAnsi"/>
                <w:bCs/>
                <w:sz w:val="22"/>
                <w:szCs w:val="22"/>
              </w:rPr>
            </w:pPr>
            <w:r w:rsidRPr="00DA3990">
              <w:rPr>
                <w:rFonts w:asciiTheme="minorHAnsi" w:hAnsiTheme="minorHAnsi" w:cstheme="minorHAnsi"/>
                <w:bCs/>
                <w:sz w:val="22"/>
                <w:szCs w:val="22"/>
              </w:rPr>
              <w:t>MF</w:t>
            </w:r>
          </w:p>
        </w:tc>
        <w:tc>
          <w:tcPr>
            <w:tcW w:w="1701" w:type="dxa"/>
            <w:shd w:val="clear" w:color="auto" w:fill="auto"/>
          </w:tcPr>
          <w:p w14:paraId="0CD64197" w14:textId="263552FE" w:rsidR="00C82261" w:rsidRDefault="00C82261" w:rsidP="00C82261">
            <w:pPr>
              <w:spacing w:before="120"/>
              <w:jc w:val="center"/>
              <w:rPr>
                <w:rFonts w:asciiTheme="minorHAnsi" w:hAnsiTheme="minorHAnsi" w:cstheme="minorHAnsi"/>
                <w:sz w:val="22"/>
                <w:szCs w:val="22"/>
              </w:rPr>
            </w:pPr>
            <w:r>
              <w:rPr>
                <w:rFonts w:asciiTheme="minorHAnsi" w:hAnsiTheme="minorHAnsi" w:cstheme="minorHAnsi"/>
                <w:sz w:val="22"/>
                <w:szCs w:val="22"/>
              </w:rPr>
              <w:t>OSR</w:t>
            </w:r>
          </w:p>
        </w:tc>
        <w:tc>
          <w:tcPr>
            <w:tcW w:w="5103" w:type="dxa"/>
            <w:shd w:val="clear" w:color="auto" w:fill="auto"/>
          </w:tcPr>
          <w:p w14:paraId="129EF2AF" w14:textId="38B0DCEA" w:rsidR="00C82261" w:rsidRDefault="0084149E" w:rsidP="0084149E">
            <w:pPr>
              <w:jc w:val="both"/>
              <w:rPr>
                <w:rFonts w:asciiTheme="minorHAnsi" w:hAnsiTheme="minorHAnsi" w:cstheme="minorHAnsi"/>
                <w:sz w:val="22"/>
                <w:szCs w:val="22"/>
              </w:rPr>
            </w:pPr>
            <w:r w:rsidRPr="0084149E">
              <w:rPr>
                <w:rFonts w:asciiTheme="minorHAnsi" w:hAnsiTheme="minorHAnsi" w:cstheme="minorHAnsi"/>
                <w:sz w:val="22"/>
                <w:szCs w:val="22"/>
              </w:rPr>
              <w:t xml:space="preserve">W pkt. 6 OSR w </w:t>
            </w:r>
            <w:r>
              <w:rPr>
                <w:rFonts w:asciiTheme="minorHAnsi" w:hAnsiTheme="minorHAnsi" w:cstheme="minorHAnsi"/>
                <w:sz w:val="22"/>
                <w:szCs w:val="22"/>
              </w:rPr>
              <w:t xml:space="preserve">pkt </w:t>
            </w:r>
            <w:r w:rsidRPr="0084149E">
              <w:rPr>
                <w:rFonts w:asciiTheme="minorHAnsi" w:hAnsiTheme="minorHAnsi" w:cstheme="minorHAnsi"/>
                <w:sz w:val="22"/>
                <w:szCs w:val="22"/>
              </w:rPr>
              <w:t>Dodatkowe informacje, w tym wskazanie źródeł danych i przyjętych do obliczeń założeń zamieszczono informację, że koszt zmian w systemie CEIDG został oszacowany przez Ministerstwo Rozwoju i Technologii na około 940.000 zł (na podstawie uwag zgłoszonych w trakcie uzgodnień międzyresortowych). Źródłem finansowania będzie część 20 budżetu państwa – Gospodarka. Należy dodatkowo zamieścić informację, że planowane wydatki zostaną sfinansowane w ramach limitu wydatków cz. 20 Gospodarka i nie będą stanowić podstawy do ubiegania się o dodatkowe środki z budżetu państwa na ten cel, zarówno w roku wejścia w życie proponowanych regulacji, jak i w latach następnych.</w:t>
            </w:r>
          </w:p>
        </w:tc>
        <w:tc>
          <w:tcPr>
            <w:tcW w:w="1417" w:type="dxa"/>
            <w:shd w:val="clear" w:color="auto" w:fill="auto"/>
          </w:tcPr>
          <w:p w14:paraId="76D0D938" w14:textId="104A7095" w:rsidR="00C82261" w:rsidRDefault="00C82261" w:rsidP="00C82261">
            <w:pPr>
              <w:jc w:val="both"/>
              <w:rPr>
                <w:rFonts w:asciiTheme="minorHAnsi" w:hAnsiTheme="minorHAnsi" w:cstheme="minorHAnsi"/>
                <w:sz w:val="22"/>
                <w:szCs w:val="22"/>
              </w:rPr>
            </w:pPr>
            <w:r>
              <w:rPr>
                <w:rFonts w:asciiTheme="minorHAnsi" w:hAnsiTheme="minorHAnsi" w:cstheme="minorHAnsi"/>
                <w:sz w:val="22"/>
                <w:szCs w:val="22"/>
              </w:rPr>
              <w:t>Korekta OSR we wskazanym zakresie.</w:t>
            </w:r>
          </w:p>
        </w:tc>
        <w:tc>
          <w:tcPr>
            <w:tcW w:w="5187" w:type="dxa"/>
          </w:tcPr>
          <w:p w14:paraId="5CC773BE" w14:textId="77777777" w:rsidR="00C82261" w:rsidRDefault="005C007A" w:rsidP="00C82261">
            <w:pPr>
              <w:jc w:val="both"/>
              <w:rPr>
                <w:rFonts w:asciiTheme="minorHAnsi" w:hAnsiTheme="minorHAnsi" w:cstheme="minorHAnsi"/>
                <w:b/>
                <w:sz w:val="22"/>
                <w:szCs w:val="22"/>
              </w:rPr>
            </w:pPr>
            <w:r w:rsidRPr="00D12C58">
              <w:rPr>
                <w:rFonts w:asciiTheme="minorHAnsi" w:hAnsiTheme="minorHAnsi" w:cstheme="minorHAnsi"/>
                <w:b/>
                <w:sz w:val="22"/>
                <w:szCs w:val="22"/>
              </w:rPr>
              <w:t xml:space="preserve">Uwaga </w:t>
            </w:r>
            <w:r w:rsidR="00606F0D" w:rsidRPr="00D12C58">
              <w:rPr>
                <w:rFonts w:asciiTheme="minorHAnsi" w:hAnsiTheme="minorHAnsi" w:cstheme="minorHAnsi"/>
                <w:b/>
                <w:sz w:val="22"/>
                <w:szCs w:val="22"/>
              </w:rPr>
              <w:t xml:space="preserve">została </w:t>
            </w:r>
            <w:r w:rsidRPr="00D12C58">
              <w:rPr>
                <w:rFonts w:asciiTheme="minorHAnsi" w:hAnsiTheme="minorHAnsi" w:cstheme="minorHAnsi"/>
                <w:b/>
                <w:sz w:val="22"/>
                <w:szCs w:val="22"/>
              </w:rPr>
              <w:t>uwzględniona</w:t>
            </w:r>
            <w:r w:rsidR="00606F0D" w:rsidRPr="00D12C58">
              <w:rPr>
                <w:rFonts w:asciiTheme="minorHAnsi" w:hAnsiTheme="minorHAnsi" w:cstheme="minorHAnsi"/>
                <w:b/>
                <w:sz w:val="22"/>
                <w:szCs w:val="22"/>
              </w:rPr>
              <w:t>.</w:t>
            </w:r>
          </w:p>
          <w:p w14:paraId="452A3BA5" w14:textId="1C2706A7" w:rsidR="00D12C58" w:rsidRPr="00D12C58" w:rsidRDefault="00D12C58" w:rsidP="00C82261">
            <w:pPr>
              <w:jc w:val="both"/>
              <w:rPr>
                <w:rFonts w:asciiTheme="minorHAnsi" w:hAnsiTheme="minorHAnsi" w:cstheme="minorHAnsi"/>
                <w:sz w:val="22"/>
                <w:szCs w:val="22"/>
              </w:rPr>
            </w:pPr>
            <w:r w:rsidRPr="00D12C58">
              <w:rPr>
                <w:rFonts w:asciiTheme="minorHAnsi" w:hAnsiTheme="minorHAnsi" w:cstheme="minorHAnsi"/>
                <w:sz w:val="22"/>
                <w:szCs w:val="22"/>
              </w:rPr>
              <w:t>OSR projektu ustawy został zmieniony w omawianym zakresie.</w:t>
            </w:r>
          </w:p>
        </w:tc>
      </w:tr>
      <w:tr w:rsidR="007C3EF0" w:rsidRPr="00A06425" w14:paraId="190011F8" w14:textId="77777777" w:rsidTr="00D4447A">
        <w:tc>
          <w:tcPr>
            <w:tcW w:w="562" w:type="dxa"/>
            <w:shd w:val="clear" w:color="auto" w:fill="auto"/>
          </w:tcPr>
          <w:p w14:paraId="37ED66FD" w14:textId="0BCE03C7" w:rsidR="007C3EF0" w:rsidRPr="00DA3990" w:rsidRDefault="007C3EF0" w:rsidP="00C82261">
            <w:pPr>
              <w:spacing w:before="120"/>
              <w:jc w:val="center"/>
              <w:rPr>
                <w:rFonts w:asciiTheme="minorHAnsi" w:hAnsiTheme="minorHAnsi" w:cstheme="minorHAnsi"/>
                <w:bCs/>
                <w:sz w:val="22"/>
                <w:szCs w:val="22"/>
              </w:rPr>
            </w:pPr>
            <w:r>
              <w:rPr>
                <w:rFonts w:asciiTheme="minorHAnsi" w:hAnsiTheme="minorHAnsi" w:cstheme="minorHAnsi"/>
                <w:bCs/>
                <w:sz w:val="22"/>
                <w:szCs w:val="22"/>
              </w:rPr>
              <w:t>3.</w:t>
            </w:r>
          </w:p>
        </w:tc>
        <w:tc>
          <w:tcPr>
            <w:tcW w:w="1418" w:type="dxa"/>
            <w:shd w:val="clear" w:color="auto" w:fill="auto"/>
          </w:tcPr>
          <w:p w14:paraId="2994DB31" w14:textId="69A6FF78" w:rsidR="007C3EF0" w:rsidRPr="00DA3990" w:rsidRDefault="007C3EF0" w:rsidP="00C82261">
            <w:pPr>
              <w:spacing w:before="120"/>
              <w:jc w:val="center"/>
              <w:rPr>
                <w:rFonts w:asciiTheme="minorHAnsi" w:hAnsiTheme="minorHAnsi" w:cstheme="minorHAnsi"/>
                <w:bCs/>
                <w:sz w:val="22"/>
                <w:szCs w:val="22"/>
              </w:rPr>
            </w:pPr>
            <w:r>
              <w:rPr>
                <w:rFonts w:asciiTheme="minorHAnsi" w:hAnsiTheme="minorHAnsi" w:cstheme="minorHAnsi"/>
                <w:bCs/>
                <w:sz w:val="22"/>
                <w:szCs w:val="22"/>
              </w:rPr>
              <w:t>MF</w:t>
            </w:r>
          </w:p>
        </w:tc>
        <w:tc>
          <w:tcPr>
            <w:tcW w:w="1701" w:type="dxa"/>
            <w:shd w:val="clear" w:color="auto" w:fill="auto"/>
          </w:tcPr>
          <w:p w14:paraId="4EA9B420" w14:textId="10C3CB13" w:rsidR="007C3EF0" w:rsidRDefault="007C3EF0" w:rsidP="00C82261">
            <w:pPr>
              <w:spacing w:before="120"/>
              <w:jc w:val="center"/>
              <w:rPr>
                <w:rFonts w:asciiTheme="minorHAnsi" w:hAnsiTheme="minorHAnsi" w:cstheme="minorHAnsi"/>
                <w:sz w:val="22"/>
                <w:szCs w:val="22"/>
              </w:rPr>
            </w:pPr>
            <w:r w:rsidRPr="0084149E">
              <w:rPr>
                <w:rFonts w:asciiTheme="minorHAnsi" w:hAnsiTheme="minorHAnsi" w:cstheme="minorHAnsi"/>
                <w:sz w:val="22"/>
                <w:szCs w:val="22"/>
              </w:rPr>
              <w:t>OSR do projektu rozporządzenia PRM z dnia 25 kwietnia br.</w:t>
            </w:r>
          </w:p>
        </w:tc>
        <w:tc>
          <w:tcPr>
            <w:tcW w:w="5103" w:type="dxa"/>
            <w:shd w:val="clear" w:color="auto" w:fill="auto"/>
          </w:tcPr>
          <w:p w14:paraId="5F701AD9" w14:textId="25916735" w:rsidR="007C3EF0" w:rsidRPr="0084149E" w:rsidRDefault="007C3EF0" w:rsidP="0084149E">
            <w:pPr>
              <w:jc w:val="both"/>
              <w:rPr>
                <w:rFonts w:asciiTheme="minorHAnsi" w:hAnsiTheme="minorHAnsi" w:cstheme="minorHAnsi"/>
                <w:sz w:val="22"/>
                <w:szCs w:val="22"/>
              </w:rPr>
            </w:pPr>
            <w:r w:rsidRPr="0084149E">
              <w:rPr>
                <w:rFonts w:asciiTheme="minorHAnsi" w:hAnsiTheme="minorHAnsi" w:cstheme="minorHAnsi"/>
                <w:sz w:val="22"/>
                <w:szCs w:val="22"/>
              </w:rPr>
              <w:t xml:space="preserve">W związku z załączonym OSR do projektu rozporządzenia </w:t>
            </w:r>
            <w:r w:rsidR="00095E35">
              <w:rPr>
                <w:rFonts w:asciiTheme="minorHAnsi" w:hAnsiTheme="minorHAnsi" w:cstheme="minorHAnsi"/>
                <w:sz w:val="22"/>
                <w:szCs w:val="22"/>
              </w:rPr>
              <w:t>Prezesa Rady Ministrów</w:t>
            </w:r>
            <w:r w:rsidRPr="0084149E">
              <w:rPr>
                <w:rFonts w:asciiTheme="minorHAnsi" w:hAnsiTheme="minorHAnsi" w:cstheme="minorHAnsi"/>
                <w:sz w:val="22"/>
                <w:szCs w:val="22"/>
              </w:rPr>
              <w:t xml:space="preserve"> z dnia 25 kwietnia br. w sprawie legitymacji ankietera statystycznego, gdzie w pkt 6 wskazano, że koszty wyprodukowania nowych legitymacji ankietera statystycznego wyniosą około 73 000 zł. Źródłem </w:t>
            </w:r>
            <w:r w:rsidRPr="0084149E">
              <w:rPr>
                <w:rFonts w:asciiTheme="minorHAnsi" w:hAnsiTheme="minorHAnsi" w:cstheme="minorHAnsi"/>
                <w:sz w:val="22"/>
                <w:szCs w:val="22"/>
              </w:rPr>
              <w:lastRenderedPageBreak/>
              <w:t xml:space="preserve">sfinansowania tych prac będą środki pozostające w dyspozycji jednostek służb statystyki publicznej, ustalone w części 58, dział 750, rozdział 75056 budżetu państwa, </w:t>
            </w:r>
            <w:r>
              <w:rPr>
                <w:rFonts w:asciiTheme="minorHAnsi" w:hAnsiTheme="minorHAnsi" w:cstheme="minorHAnsi"/>
                <w:sz w:val="22"/>
                <w:szCs w:val="22"/>
              </w:rPr>
              <w:t>MF</w:t>
            </w:r>
            <w:r w:rsidRPr="0084149E">
              <w:rPr>
                <w:rFonts w:asciiTheme="minorHAnsi" w:hAnsiTheme="minorHAnsi" w:cstheme="minorHAnsi"/>
                <w:sz w:val="22"/>
                <w:szCs w:val="22"/>
              </w:rPr>
              <w:t xml:space="preserve"> rozumiejące ten zapis w ten sposób, że wydatki te nie będą podstawą do ubiegania się o dodatkowe środki finansowe na ten cel ponad limit wydatków, nie zgłasza uwag. Niemniej powinno to jednoznacznie wybrzmieć w OSR.</w:t>
            </w:r>
          </w:p>
        </w:tc>
        <w:tc>
          <w:tcPr>
            <w:tcW w:w="1417" w:type="dxa"/>
            <w:shd w:val="clear" w:color="auto" w:fill="auto"/>
          </w:tcPr>
          <w:p w14:paraId="6AC2CDE5" w14:textId="4C03EE27" w:rsidR="007C3EF0" w:rsidRDefault="007C3EF0" w:rsidP="00C82261">
            <w:pPr>
              <w:jc w:val="both"/>
              <w:rPr>
                <w:rFonts w:asciiTheme="minorHAnsi" w:hAnsiTheme="minorHAnsi" w:cstheme="minorHAnsi"/>
                <w:sz w:val="22"/>
                <w:szCs w:val="22"/>
              </w:rPr>
            </w:pPr>
            <w:r>
              <w:rPr>
                <w:rFonts w:asciiTheme="minorHAnsi" w:hAnsiTheme="minorHAnsi" w:cstheme="minorHAnsi"/>
                <w:sz w:val="22"/>
                <w:szCs w:val="22"/>
              </w:rPr>
              <w:lastRenderedPageBreak/>
              <w:t>Korekta OSR we wskazanym zakresie.</w:t>
            </w:r>
          </w:p>
        </w:tc>
        <w:tc>
          <w:tcPr>
            <w:tcW w:w="5187" w:type="dxa"/>
          </w:tcPr>
          <w:p w14:paraId="6D3D5253" w14:textId="77777777" w:rsidR="00D12C58" w:rsidRDefault="00606F0D" w:rsidP="00C82261">
            <w:pPr>
              <w:jc w:val="both"/>
              <w:rPr>
                <w:rFonts w:asciiTheme="minorHAnsi" w:hAnsiTheme="minorHAnsi" w:cstheme="minorHAnsi"/>
                <w:sz w:val="22"/>
                <w:szCs w:val="22"/>
              </w:rPr>
            </w:pPr>
            <w:r w:rsidRPr="00D12C58">
              <w:rPr>
                <w:rFonts w:asciiTheme="minorHAnsi" w:hAnsiTheme="minorHAnsi" w:cstheme="minorHAnsi"/>
                <w:b/>
                <w:sz w:val="22"/>
                <w:szCs w:val="22"/>
              </w:rPr>
              <w:t>Uwaga została uwzględniona.</w:t>
            </w:r>
            <w:r w:rsidR="00D12C58" w:rsidRPr="00D12C58">
              <w:rPr>
                <w:rFonts w:asciiTheme="minorHAnsi" w:hAnsiTheme="minorHAnsi" w:cstheme="minorHAnsi"/>
                <w:sz w:val="22"/>
                <w:szCs w:val="22"/>
              </w:rPr>
              <w:t xml:space="preserve"> </w:t>
            </w:r>
          </w:p>
          <w:p w14:paraId="4E61CCF1" w14:textId="60CB2AFF" w:rsidR="007C3EF0" w:rsidRPr="00D12C58" w:rsidRDefault="00D12C58" w:rsidP="00C82261">
            <w:pPr>
              <w:jc w:val="both"/>
              <w:rPr>
                <w:rFonts w:asciiTheme="minorHAnsi" w:hAnsiTheme="minorHAnsi" w:cstheme="minorHAnsi"/>
                <w:b/>
                <w:sz w:val="22"/>
                <w:szCs w:val="22"/>
              </w:rPr>
            </w:pPr>
            <w:r w:rsidRPr="00D12C58">
              <w:rPr>
                <w:rFonts w:asciiTheme="minorHAnsi" w:hAnsiTheme="minorHAnsi" w:cstheme="minorHAnsi"/>
                <w:sz w:val="22"/>
                <w:szCs w:val="22"/>
              </w:rPr>
              <w:t>OSR projektu ustawy został zmieniony w omawianym zakresie.</w:t>
            </w:r>
          </w:p>
        </w:tc>
      </w:tr>
      <w:tr w:rsidR="00D4447A" w:rsidRPr="00A06425" w14:paraId="2EE96E0A" w14:textId="77777777" w:rsidTr="00D4447A">
        <w:tc>
          <w:tcPr>
            <w:tcW w:w="562" w:type="dxa"/>
            <w:shd w:val="clear" w:color="auto" w:fill="auto"/>
          </w:tcPr>
          <w:p w14:paraId="7CB8152B" w14:textId="72F32599" w:rsidR="00D4447A" w:rsidRDefault="00D4447A" w:rsidP="00C82261">
            <w:pPr>
              <w:spacing w:before="120"/>
              <w:jc w:val="center"/>
              <w:rPr>
                <w:rFonts w:asciiTheme="minorHAnsi" w:hAnsiTheme="minorHAnsi" w:cstheme="minorHAnsi"/>
                <w:bCs/>
                <w:sz w:val="22"/>
                <w:szCs w:val="22"/>
              </w:rPr>
            </w:pPr>
            <w:r>
              <w:rPr>
                <w:rFonts w:asciiTheme="minorHAnsi" w:hAnsiTheme="minorHAnsi" w:cstheme="minorHAnsi"/>
                <w:bCs/>
                <w:sz w:val="22"/>
                <w:szCs w:val="22"/>
              </w:rPr>
              <w:t>4.</w:t>
            </w:r>
          </w:p>
        </w:tc>
        <w:tc>
          <w:tcPr>
            <w:tcW w:w="1418" w:type="dxa"/>
            <w:shd w:val="clear" w:color="auto" w:fill="auto"/>
          </w:tcPr>
          <w:p w14:paraId="3D110569" w14:textId="60C19BFE" w:rsidR="00D4447A" w:rsidRDefault="00D4447A" w:rsidP="00C82261">
            <w:pPr>
              <w:spacing w:before="120"/>
              <w:jc w:val="center"/>
              <w:rPr>
                <w:rFonts w:asciiTheme="minorHAnsi" w:hAnsiTheme="minorHAnsi" w:cstheme="minorHAnsi"/>
                <w:bCs/>
                <w:sz w:val="22"/>
                <w:szCs w:val="22"/>
              </w:rPr>
            </w:pPr>
            <w:r>
              <w:rPr>
                <w:rFonts w:asciiTheme="minorHAnsi" w:hAnsiTheme="minorHAnsi" w:cstheme="minorHAnsi"/>
                <w:bCs/>
                <w:sz w:val="22"/>
                <w:szCs w:val="22"/>
              </w:rPr>
              <w:t>Zespół Zadaniowy Rada Architektury IT</w:t>
            </w:r>
          </w:p>
        </w:tc>
        <w:tc>
          <w:tcPr>
            <w:tcW w:w="1701" w:type="dxa"/>
            <w:shd w:val="clear" w:color="auto" w:fill="auto"/>
          </w:tcPr>
          <w:p w14:paraId="51097179" w14:textId="0BC8FA7C" w:rsidR="00D4447A" w:rsidRPr="0084149E" w:rsidRDefault="00D4447A" w:rsidP="00C82261">
            <w:pPr>
              <w:spacing w:before="120"/>
              <w:jc w:val="center"/>
              <w:rPr>
                <w:rFonts w:asciiTheme="minorHAnsi" w:hAnsiTheme="minorHAnsi" w:cstheme="minorHAnsi"/>
                <w:sz w:val="22"/>
                <w:szCs w:val="22"/>
              </w:rPr>
            </w:pPr>
            <w:r>
              <w:rPr>
                <w:rFonts w:asciiTheme="minorHAnsi" w:hAnsiTheme="minorHAnsi" w:cstheme="minorHAnsi"/>
                <w:sz w:val="22"/>
                <w:szCs w:val="22"/>
              </w:rPr>
              <w:t>Uwaga ogólna</w:t>
            </w:r>
          </w:p>
        </w:tc>
        <w:tc>
          <w:tcPr>
            <w:tcW w:w="5103" w:type="dxa"/>
            <w:shd w:val="clear" w:color="auto" w:fill="auto"/>
          </w:tcPr>
          <w:p w14:paraId="7253111C" w14:textId="79186D6F" w:rsidR="00D4447A" w:rsidRPr="0084149E" w:rsidRDefault="00D4447A" w:rsidP="0084149E">
            <w:pPr>
              <w:jc w:val="both"/>
              <w:rPr>
                <w:rFonts w:asciiTheme="minorHAnsi" w:hAnsiTheme="minorHAnsi" w:cstheme="minorHAnsi"/>
                <w:sz w:val="22"/>
                <w:szCs w:val="22"/>
              </w:rPr>
            </w:pPr>
            <w:r>
              <w:rPr>
                <w:rFonts w:asciiTheme="minorHAnsi" w:hAnsiTheme="minorHAnsi" w:cstheme="minorHAnsi"/>
                <w:sz w:val="22"/>
                <w:szCs w:val="22"/>
              </w:rPr>
              <w:t xml:space="preserve">Rozważenie możliwości zastosowania </w:t>
            </w:r>
            <w:r w:rsidRPr="00D4447A">
              <w:rPr>
                <w:rFonts w:asciiTheme="minorHAnsi" w:hAnsiTheme="minorHAnsi" w:cstheme="minorHAnsi"/>
                <w:i/>
                <w:sz w:val="22"/>
                <w:szCs w:val="22"/>
              </w:rPr>
              <w:t>vacatio legis</w:t>
            </w:r>
            <w:r>
              <w:rPr>
                <w:rFonts w:asciiTheme="minorHAnsi" w:hAnsiTheme="minorHAnsi" w:cstheme="minorHAnsi"/>
                <w:sz w:val="22"/>
                <w:szCs w:val="22"/>
              </w:rPr>
              <w:t xml:space="preserve"> dla przepisów wymagających zmian sposobu udostępniania danych, aby ograniczyć koszty zmian w systemach planowanych do zastąpienia przez nowe rozwiązania niedotyczące terminów wynikających z wdrożenia PKD.</w:t>
            </w:r>
          </w:p>
        </w:tc>
        <w:tc>
          <w:tcPr>
            <w:tcW w:w="1417" w:type="dxa"/>
            <w:shd w:val="clear" w:color="auto" w:fill="auto"/>
          </w:tcPr>
          <w:p w14:paraId="77C45D6C" w14:textId="77777777" w:rsidR="00D4447A" w:rsidRDefault="00D4447A" w:rsidP="00C82261">
            <w:pPr>
              <w:jc w:val="both"/>
              <w:rPr>
                <w:rFonts w:asciiTheme="minorHAnsi" w:hAnsiTheme="minorHAnsi" w:cstheme="minorHAnsi"/>
                <w:sz w:val="22"/>
                <w:szCs w:val="22"/>
              </w:rPr>
            </w:pPr>
          </w:p>
        </w:tc>
        <w:tc>
          <w:tcPr>
            <w:tcW w:w="5187" w:type="dxa"/>
          </w:tcPr>
          <w:p w14:paraId="16D37848" w14:textId="63A2DE35" w:rsidR="00030C33" w:rsidRPr="006F4489" w:rsidRDefault="00FF48F8" w:rsidP="00030C33">
            <w:pPr>
              <w:jc w:val="both"/>
              <w:rPr>
                <w:rFonts w:asciiTheme="minorHAnsi" w:hAnsiTheme="minorHAnsi" w:cstheme="minorHAnsi"/>
                <w:b/>
                <w:sz w:val="22"/>
                <w:szCs w:val="22"/>
              </w:rPr>
            </w:pPr>
            <w:r>
              <w:rPr>
                <w:rFonts w:asciiTheme="minorHAnsi" w:hAnsiTheme="minorHAnsi" w:cstheme="minorHAnsi"/>
                <w:b/>
                <w:sz w:val="22"/>
                <w:szCs w:val="22"/>
              </w:rPr>
              <w:t>Wyjaśnienie:</w:t>
            </w:r>
          </w:p>
          <w:p w14:paraId="4340FAFC" w14:textId="23D10885" w:rsidR="00597B57" w:rsidRPr="00FF48F8" w:rsidRDefault="00FF3596" w:rsidP="00FF48F8">
            <w:pPr>
              <w:jc w:val="both"/>
              <w:rPr>
                <w:rFonts w:asciiTheme="minorHAnsi" w:hAnsiTheme="minorHAnsi" w:cstheme="minorHAnsi"/>
                <w:sz w:val="22"/>
                <w:szCs w:val="22"/>
              </w:rPr>
            </w:pPr>
            <w:r w:rsidRPr="006F4489">
              <w:rPr>
                <w:rFonts w:asciiTheme="minorHAnsi" w:hAnsiTheme="minorHAnsi" w:cstheme="minorHAnsi"/>
                <w:sz w:val="22"/>
                <w:szCs w:val="22"/>
              </w:rPr>
              <w:t xml:space="preserve">Główny Urząd Statystyczny nie widzi potrzeby modyfikacji przepisu o wejściu w życie projektowanej ustawy (art. 21 projektu). </w:t>
            </w:r>
            <w:r w:rsidR="00FF48F8">
              <w:rPr>
                <w:rFonts w:asciiTheme="minorHAnsi" w:hAnsiTheme="minorHAnsi" w:cstheme="minorHAnsi"/>
                <w:sz w:val="22"/>
                <w:szCs w:val="22"/>
              </w:rPr>
              <w:t>Terminy wejścia w życie przepisów zostały uzgodnione z gestorami informacji/</w:t>
            </w:r>
            <w:bookmarkStart w:id="0" w:name="_GoBack"/>
            <w:bookmarkEnd w:id="0"/>
            <w:r w:rsidR="00FF48F8">
              <w:rPr>
                <w:rFonts w:asciiTheme="minorHAnsi" w:hAnsiTheme="minorHAnsi" w:cstheme="minorHAnsi"/>
                <w:sz w:val="22"/>
                <w:szCs w:val="22"/>
              </w:rPr>
              <w:t>systemów.</w:t>
            </w:r>
          </w:p>
        </w:tc>
      </w:tr>
      <w:tr w:rsidR="00D4447A" w:rsidRPr="00A06425" w14:paraId="16DEAF35" w14:textId="77777777" w:rsidTr="00D4447A">
        <w:tc>
          <w:tcPr>
            <w:tcW w:w="562" w:type="dxa"/>
            <w:shd w:val="clear" w:color="auto" w:fill="auto"/>
          </w:tcPr>
          <w:p w14:paraId="01DBB4FD" w14:textId="286030A2" w:rsidR="00D4447A" w:rsidRDefault="00D4447A" w:rsidP="00C82261">
            <w:pPr>
              <w:spacing w:before="120"/>
              <w:jc w:val="center"/>
              <w:rPr>
                <w:rFonts w:asciiTheme="minorHAnsi" w:hAnsiTheme="minorHAnsi" w:cstheme="minorHAnsi"/>
                <w:bCs/>
                <w:sz w:val="22"/>
                <w:szCs w:val="22"/>
              </w:rPr>
            </w:pPr>
            <w:r>
              <w:rPr>
                <w:rFonts w:asciiTheme="minorHAnsi" w:hAnsiTheme="minorHAnsi" w:cstheme="minorHAnsi"/>
                <w:bCs/>
                <w:sz w:val="22"/>
                <w:szCs w:val="22"/>
              </w:rPr>
              <w:t>5.</w:t>
            </w:r>
          </w:p>
        </w:tc>
        <w:tc>
          <w:tcPr>
            <w:tcW w:w="1418" w:type="dxa"/>
            <w:shd w:val="clear" w:color="auto" w:fill="auto"/>
          </w:tcPr>
          <w:p w14:paraId="64BB1132" w14:textId="5495620A" w:rsidR="00D4447A" w:rsidRDefault="00D4447A" w:rsidP="00C82261">
            <w:pPr>
              <w:spacing w:before="120"/>
              <w:jc w:val="center"/>
              <w:rPr>
                <w:rFonts w:asciiTheme="minorHAnsi" w:hAnsiTheme="minorHAnsi" w:cstheme="minorHAnsi"/>
                <w:bCs/>
                <w:sz w:val="22"/>
                <w:szCs w:val="22"/>
              </w:rPr>
            </w:pPr>
            <w:r>
              <w:rPr>
                <w:rFonts w:asciiTheme="minorHAnsi" w:hAnsiTheme="minorHAnsi" w:cstheme="minorHAnsi"/>
                <w:bCs/>
                <w:sz w:val="22"/>
                <w:szCs w:val="22"/>
              </w:rPr>
              <w:t>Zespół Zadaniowy Rada Architektury IT</w:t>
            </w:r>
          </w:p>
        </w:tc>
        <w:tc>
          <w:tcPr>
            <w:tcW w:w="1701" w:type="dxa"/>
            <w:shd w:val="clear" w:color="auto" w:fill="auto"/>
          </w:tcPr>
          <w:p w14:paraId="778F8959" w14:textId="7616EE15" w:rsidR="00D4447A" w:rsidRPr="0084149E" w:rsidRDefault="00D4447A" w:rsidP="00C82261">
            <w:pPr>
              <w:spacing w:before="120"/>
              <w:jc w:val="center"/>
              <w:rPr>
                <w:rFonts w:asciiTheme="minorHAnsi" w:hAnsiTheme="minorHAnsi" w:cstheme="minorHAnsi"/>
                <w:sz w:val="22"/>
                <w:szCs w:val="22"/>
              </w:rPr>
            </w:pPr>
            <w:r>
              <w:rPr>
                <w:rFonts w:asciiTheme="minorHAnsi" w:hAnsiTheme="minorHAnsi" w:cstheme="minorHAnsi"/>
                <w:sz w:val="22"/>
                <w:szCs w:val="22"/>
              </w:rPr>
              <w:t>OSR pkt 6</w:t>
            </w:r>
          </w:p>
        </w:tc>
        <w:tc>
          <w:tcPr>
            <w:tcW w:w="5103" w:type="dxa"/>
            <w:shd w:val="clear" w:color="auto" w:fill="auto"/>
          </w:tcPr>
          <w:p w14:paraId="58951889" w14:textId="51301198" w:rsidR="00D4447A" w:rsidRPr="0084149E" w:rsidRDefault="00D4447A" w:rsidP="0084149E">
            <w:pPr>
              <w:jc w:val="both"/>
              <w:rPr>
                <w:rFonts w:asciiTheme="minorHAnsi" w:hAnsiTheme="minorHAnsi" w:cstheme="minorHAnsi"/>
                <w:sz w:val="22"/>
                <w:szCs w:val="22"/>
              </w:rPr>
            </w:pPr>
            <w:r>
              <w:rPr>
                <w:rFonts w:asciiTheme="minorHAnsi" w:hAnsiTheme="minorHAnsi" w:cstheme="minorHAnsi"/>
                <w:sz w:val="22"/>
                <w:szCs w:val="22"/>
              </w:rPr>
              <w:t>Należy zweryfikować poziom kosztów weryfikacji i/lub aktualizacji rejestrów urzędowych i systemów teleinformatycznych w zakresie dostosowania ich do wymagań określonych w art. 48a ustawy zmienianej w art. 1, uwzględniając w szczególności potrzeby dostosowania w administracji samorządowej.</w:t>
            </w:r>
          </w:p>
        </w:tc>
        <w:tc>
          <w:tcPr>
            <w:tcW w:w="1417" w:type="dxa"/>
            <w:shd w:val="clear" w:color="auto" w:fill="auto"/>
          </w:tcPr>
          <w:p w14:paraId="6ADB2DB0" w14:textId="77777777" w:rsidR="00D4447A" w:rsidRDefault="00D4447A" w:rsidP="00C82261">
            <w:pPr>
              <w:jc w:val="both"/>
              <w:rPr>
                <w:rFonts w:asciiTheme="minorHAnsi" w:hAnsiTheme="minorHAnsi" w:cstheme="minorHAnsi"/>
                <w:sz w:val="22"/>
                <w:szCs w:val="22"/>
              </w:rPr>
            </w:pPr>
          </w:p>
        </w:tc>
        <w:tc>
          <w:tcPr>
            <w:tcW w:w="5187" w:type="dxa"/>
          </w:tcPr>
          <w:p w14:paraId="119AD9BC" w14:textId="77777777" w:rsidR="00B80152" w:rsidRPr="00B80152" w:rsidRDefault="00B80152" w:rsidP="00B80152">
            <w:pPr>
              <w:pStyle w:val="Default"/>
              <w:jc w:val="both"/>
              <w:rPr>
                <w:rFonts w:asciiTheme="minorHAnsi" w:hAnsiTheme="minorHAnsi" w:cstheme="minorHAnsi"/>
                <w:b/>
                <w:sz w:val="22"/>
                <w:szCs w:val="22"/>
              </w:rPr>
            </w:pPr>
            <w:r w:rsidRPr="00B80152">
              <w:rPr>
                <w:rFonts w:asciiTheme="minorHAnsi" w:hAnsiTheme="minorHAnsi" w:cstheme="minorHAnsi"/>
                <w:b/>
                <w:sz w:val="22"/>
                <w:szCs w:val="22"/>
              </w:rPr>
              <w:t>Wyjaśnienie:</w:t>
            </w:r>
          </w:p>
          <w:p w14:paraId="7C9FC9E6" w14:textId="77777777" w:rsidR="00B80152" w:rsidRPr="00481FD3" w:rsidRDefault="00B80152" w:rsidP="00B80152">
            <w:pPr>
              <w:pStyle w:val="Default"/>
              <w:numPr>
                <w:ilvl w:val="0"/>
                <w:numId w:val="5"/>
              </w:numPr>
              <w:ind w:left="357" w:hanging="357"/>
              <w:jc w:val="both"/>
              <w:rPr>
                <w:rFonts w:asciiTheme="minorHAnsi" w:hAnsiTheme="minorHAnsi" w:cstheme="minorHAnsi"/>
                <w:sz w:val="22"/>
                <w:szCs w:val="22"/>
              </w:rPr>
            </w:pPr>
            <w:r w:rsidRPr="00481FD3">
              <w:rPr>
                <w:rFonts w:asciiTheme="minorHAnsi" w:hAnsiTheme="minorHAnsi" w:cstheme="minorHAnsi"/>
                <w:sz w:val="22"/>
                <w:szCs w:val="22"/>
              </w:rPr>
              <w:t>W wyniku weryfikacji poziomu kosztów związanych z aktualizacją określonych w OSR projektowanej ustawy</w:t>
            </w:r>
            <w:r w:rsidRPr="00481FD3">
              <w:rPr>
                <w:rFonts w:asciiTheme="minorHAnsi" w:hAnsiTheme="minorHAnsi" w:cstheme="minorHAnsi"/>
                <w:i/>
                <w:sz w:val="22"/>
                <w:szCs w:val="22"/>
              </w:rPr>
              <w:t xml:space="preserve"> </w:t>
            </w:r>
            <w:r w:rsidRPr="00481FD3">
              <w:rPr>
                <w:rFonts w:asciiTheme="minorHAnsi" w:hAnsiTheme="minorHAnsi" w:cstheme="minorHAnsi"/>
                <w:sz w:val="22"/>
                <w:szCs w:val="22"/>
              </w:rPr>
              <w:t>rejestrów urzędowych i systemów teleinformatycznych, w zakresie dostosowania ich do wymagań określonych w art. 48a, nie stwierdzono potrzeby dokonania korekty przyjętych wyliczeń. Powyższe stwierdzenie oparto na następujących przesłankach:</w:t>
            </w:r>
          </w:p>
          <w:p w14:paraId="19117D22" w14:textId="77777777" w:rsidR="00B80152" w:rsidRPr="00481FD3" w:rsidRDefault="00B80152" w:rsidP="00B80152">
            <w:pPr>
              <w:pStyle w:val="Default"/>
              <w:numPr>
                <w:ilvl w:val="0"/>
                <w:numId w:val="6"/>
              </w:numPr>
              <w:ind w:left="771" w:hanging="357"/>
              <w:jc w:val="both"/>
              <w:rPr>
                <w:rFonts w:asciiTheme="minorHAnsi" w:hAnsiTheme="minorHAnsi" w:cstheme="minorHAnsi"/>
                <w:sz w:val="22"/>
                <w:szCs w:val="22"/>
              </w:rPr>
            </w:pPr>
            <w:r w:rsidRPr="00481FD3">
              <w:rPr>
                <w:rFonts w:asciiTheme="minorHAnsi" w:hAnsiTheme="minorHAnsi" w:cstheme="minorHAnsi"/>
                <w:sz w:val="22"/>
                <w:szCs w:val="22"/>
              </w:rPr>
              <w:t>obowiązek stosowania i aktualizacji identyfikatorów rejestru TERYT istnieje już od prawie 30 lat i nie powinien być traktowany jako nowy obowiązek generujący koszty;</w:t>
            </w:r>
          </w:p>
          <w:p w14:paraId="4EFA4F80" w14:textId="77953BA3" w:rsidR="00B80152" w:rsidRPr="00481FD3" w:rsidRDefault="00B80152" w:rsidP="00B80152">
            <w:pPr>
              <w:pStyle w:val="Default"/>
              <w:numPr>
                <w:ilvl w:val="0"/>
                <w:numId w:val="6"/>
              </w:numPr>
              <w:ind w:left="771" w:hanging="357"/>
              <w:jc w:val="both"/>
              <w:rPr>
                <w:rFonts w:asciiTheme="minorHAnsi" w:hAnsiTheme="minorHAnsi" w:cstheme="minorHAnsi"/>
                <w:sz w:val="22"/>
                <w:szCs w:val="22"/>
              </w:rPr>
            </w:pPr>
            <w:r w:rsidRPr="00481FD3">
              <w:rPr>
                <w:rFonts w:asciiTheme="minorHAnsi" w:hAnsiTheme="minorHAnsi" w:cstheme="minorHAnsi"/>
                <w:sz w:val="22"/>
                <w:szCs w:val="22"/>
              </w:rPr>
              <w:t>projekt ustawy tylko porządkuje przepisy i określa datę graniczną na dostosowanie rejestrów do wymogów określonych w przepisach – 4 lata od dnia wejścia w życie ustawy wydaje się okresem wystarczającym na wprowadzenie zmian tam</w:t>
            </w:r>
            <w:r w:rsidR="00095E35">
              <w:rPr>
                <w:rFonts w:asciiTheme="minorHAnsi" w:hAnsiTheme="minorHAnsi" w:cstheme="minorHAnsi"/>
                <w:sz w:val="22"/>
                <w:szCs w:val="22"/>
              </w:rPr>
              <w:t xml:space="preserve">, </w:t>
            </w:r>
            <w:r w:rsidRPr="00481FD3">
              <w:rPr>
                <w:rFonts w:asciiTheme="minorHAnsi" w:hAnsiTheme="minorHAnsi" w:cstheme="minorHAnsi"/>
                <w:sz w:val="22"/>
                <w:szCs w:val="22"/>
              </w:rPr>
              <w:t>gdzie są one konieczne, biorąc pod uwagę cykl życia systemów teleinformatycznych;</w:t>
            </w:r>
          </w:p>
          <w:p w14:paraId="73C8CCA5" w14:textId="77777777" w:rsidR="00B80152" w:rsidRPr="00481FD3" w:rsidRDefault="00B80152" w:rsidP="00B80152">
            <w:pPr>
              <w:pStyle w:val="Default"/>
              <w:numPr>
                <w:ilvl w:val="0"/>
                <w:numId w:val="6"/>
              </w:numPr>
              <w:ind w:left="771" w:hanging="357"/>
              <w:jc w:val="both"/>
              <w:rPr>
                <w:rFonts w:asciiTheme="minorHAnsi" w:hAnsiTheme="minorHAnsi" w:cstheme="minorHAnsi"/>
                <w:sz w:val="22"/>
                <w:szCs w:val="22"/>
              </w:rPr>
            </w:pPr>
            <w:r w:rsidRPr="00481FD3">
              <w:rPr>
                <w:rFonts w:asciiTheme="minorHAnsi" w:hAnsiTheme="minorHAnsi" w:cstheme="minorHAnsi"/>
                <w:sz w:val="22"/>
                <w:szCs w:val="22"/>
              </w:rPr>
              <w:t>ujęte w OSR projektowanej ustawy</w:t>
            </w:r>
            <w:r w:rsidRPr="00481FD3">
              <w:rPr>
                <w:rFonts w:asciiTheme="minorHAnsi" w:hAnsiTheme="minorHAnsi" w:cstheme="minorHAnsi"/>
                <w:i/>
                <w:sz w:val="22"/>
                <w:szCs w:val="22"/>
              </w:rPr>
              <w:t xml:space="preserve"> </w:t>
            </w:r>
            <w:r w:rsidRPr="00481FD3">
              <w:rPr>
                <w:rFonts w:asciiTheme="minorHAnsi" w:hAnsiTheme="minorHAnsi" w:cstheme="minorHAnsi"/>
                <w:sz w:val="22"/>
                <w:szCs w:val="22"/>
              </w:rPr>
              <w:t xml:space="preserve">koszty zostały ograniczone tylko do rejestrów urzędowych i systemów informacyjnych </w:t>
            </w:r>
            <w:r w:rsidRPr="00481FD3">
              <w:rPr>
                <w:rFonts w:asciiTheme="minorHAnsi" w:hAnsiTheme="minorHAnsi" w:cstheme="minorHAnsi"/>
                <w:sz w:val="22"/>
                <w:szCs w:val="22"/>
              </w:rPr>
              <w:lastRenderedPageBreak/>
              <w:t>administracji publicznej dotychczas niewypełniających obowiązku stosowania i aktualizacji identyfikatorów;</w:t>
            </w:r>
          </w:p>
          <w:p w14:paraId="795FCC66" w14:textId="77777777" w:rsidR="00B80152" w:rsidRPr="00481FD3" w:rsidRDefault="00B80152" w:rsidP="00B80152">
            <w:pPr>
              <w:pStyle w:val="Default"/>
              <w:numPr>
                <w:ilvl w:val="0"/>
                <w:numId w:val="6"/>
              </w:numPr>
              <w:ind w:left="771" w:hanging="357"/>
              <w:jc w:val="both"/>
              <w:rPr>
                <w:rFonts w:asciiTheme="minorHAnsi" w:hAnsiTheme="minorHAnsi" w:cstheme="minorHAnsi"/>
                <w:sz w:val="22"/>
                <w:szCs w:val="22"/>
              </w:rPr>
            </w:pPr>
            <w:r w:rsidRPr="00481FD3">
              <w:rPr>
                <w:rFonts w:asciiTheme="minorHAnsi" w:hAnsiTheme="minorHAnsi" w:cstheme="minorHAnsi"/>
                <w:color w:val="000000" w:themeColor="text1"/>
                <w:sz w:val="22"/>
                <w:szCs w:val="22"/>
              </w:rPr>
              <w:t xml:space="preserve">ze względu na wąski zakres zmian przewidzianych do wprowadzenia w rejestrze TERYT, ewentualne dostosowanie pozostałych rejestrów </w:t>
            </w:r>
            <w:r w:rsidRPr="00481FD3">
              <w:rPr>
                <w:rFonts w:asciiTheme="minorHAnsi" w:hAnsiTheme="minorHAnsi" w:cstheme="minorHAnsi"/>
                <w:sz w:val="22"/>
                <w:szCs w:val="22"/>
              </w:rPr>
              <w:t>urzędowych i systemów informacyjnych administracji publicznej</w:t>
            </w:r>
            <w:r w:rsidRPr="00481FD3">
              <w:rPr>
                <w:rFonts w:asciiTheme="minorHAnsi" w:hAnsiTheme="minorHAnsi" w:cstheme="minorHAnsi"/>
                <w:color w:val="000000" w:themeColor="text1"/>
                <w:sz w:val="22"/>
                <w:szCs w:val="22"/>
              </w:rPr>
              <w:t xml:space="preserve"> będzie wymagało niewielkich nakładów i zakłada się, że zostanie ono zrealizowane w ramach bieżących prac modernizacyjno-eksploatacyjnych systemów teleinformatycznych obsługujących te rejestry;</w:t>
            </w:r>
          </w:p>
          <w:p w14:paraId="6B316C00" w14:textId="77777777" w:rsidR="00B80152" w:rsidRPr="00481FD3" w:rsidRDefault="00B80152" w:rsidP="00B80152">
            <w:pPr>
              <w:pStyle w:val="Default"/>
              <w:numPr>
                <w:ilvl w:val="0"/>
                <w:numId w:val="6"/>
              </w:numPr>
              <w:ind w:left="771" w:hanging="357"/>
              <w:jc w:val="both"/>
              <w:rPr>
                <w:rFonts w:asciiTheme="minorHAnsi" w:hAnsiTheme="minorHAnsi" w:cstheme="minorHAnsi"/>
                <w:sz w:val="22"/>
                <w:szCs w:val="22"/>
              </w:rPr>
            </w:pPr>
            <w:r w:rsidRPr="00481FD3">
              <w:rPr>
                <w:rFonts w:asciiTheme="minorHAnsi" w:hAnsiTheme="minorHAnsi" w:cstheme="minorHAnsi"/>
                <w:sz w:val="22"/>
                <w:szCs w:val="22"/>
              </w:rPr>
              <w:t>kluczowe rejestry/ewidencje prowadzone przez jednostki samorządu terytorialnego spełniają już obowiązek określony w aktualnie obowiązujących przepisach.</w:t>
            </w:r>
          </w:p>
          <w:p w14:paraId="62091B15" w14:textId="48484EE0" w:rsidR="00B80152" w:rsidRPr="00481FD3" w:rsidRDefault="00B80152" w:rsidP="00B80152">
            <w:pPr>
              <w:pStyle w:val="Akapitzlist"/>
              <w:numPr>
                <w:ilvl w:val="0"/>
                <w:numId w:val="5"/>
              </w:numPr>
              <w:autoSpaceDE w:val="0"/>
              <w:autoSpaceDN w:val="0"/>
              <w:ind w:left="357" w:hanging="357"/>
              <w:jc w:val="both"/>
              <w:rPr>
                <w:rFonts w:asciiTheme="minorHAnsi" w:hAnsiTheme="minorHAnsi" w:cstheme="minorHAnsi"/>
                <w:sz w:val="22"/>
                <w:szCs w:val="22"/>
              </w:rPr>
            </w:pPr>
            <w:r w:rsidRPr="00481FD3">
              <w:rPr>
                <w:rFonts w:asciiTheme="minorHAnsi" w:hAnsiTheme="minorHAnsi" w:cstheme="minorHAnsi"/>
                <w:sz w:val="22"/>
                <w:szCs w:val="22"/>
              </w:rPr>
              <w:t>W zakresie wpływu projektowanych przepisów na administrację samorządową należy wyjaśnić, że najważniejsze znaczenie projektowane przepisy będą miały na prowadzoną przez gminy ewidencję miejscowości, ulic i adresów (</w:t>
            </w:r>
            <w:proofErr w:type="spellStart"/>
            <w:r w:rsidRPr="00481FD3">
              <w:rPr>
                <w:rFonts w:asciiTheme="minorHAnsi" w:hAnsiTheme="minorHAnsi" w:cstheme="minorHAnsi"/>
                <w:sz w:val="22"/>
                <w:szCs w:val="22"/>
              </w:rPr>
              <w:t>EMUiA</w:t>
            </w:r>
            <w:proofErr w:type="spellEnd"/>
            <w:r w:rsidRPr="00481FD3">
              <w:rPr>
                <w:rFonts w:asciiTheme="minorHAnsi" w:hAnsiTheme="minorHAnsi" w:cstheme="minorHAnsi"/>
                <w:sz w:val="22"/>
                <w:szCs w:val="22"/>
              </w:rPr>
              <w:t xml:space="preserve">). Zgodnie </w:t>
            </w:r>
            <w:r w:rsidR="00095E35">
              <w:rPr>
                <w:rFonts w:asciiTheme="minorHAnsi" w:hAnsiTheme="minorHAnsi" w:cstheme="minorHAnsi"/>
                <w:sz w:val="22"/>
                <w:szCs w:val="22"/>
              </w:rPr>
              <w:br/>
            </w:r>
            <w:r w:rsidRPr="00481FD3">
              <w:rPr>
                <w:rFonts w:asciiTheme="minorHAnsi" w:hAnsiTheme="minorHAnsi" w:cstheme="minorHAnsi"/>
                <w:sz w:val="22"/>
                <w:szCs w:val="22"/>
              </w:rPr>
              <w:t xml:space="preserve">z rozporządzeniem Ministra Rozwoju, Pracy i Technologii z dnia 21 lipca 2021 r. w sprawie ewidencji miejscowości, ulic i adresów (Dz. U. poz. 1368), w ewidencji tej gromadzone są identyfikatory rejestru TERYT oraz towarzyszące im nazwy, rodzaje i cechy obiektów – miejscowości i ulic (§ 4 ust. 1  i 2). Jednocześnie przepisy ujęte w § 9 </w:t>
            </w:r>
            <w:r w:rsidR="00095E35">
              <w:rPr>
                <w:rFonts w:asciiTheme="minorHAnsi" w:hAnsiTheme="minorHAnsi" w:cstheme="minorHAnsi"/>
                <w:sz w:val="22"/>
                <w:szCs w:val="22"/>
              </w:rPr>
              <w:t xml:space="preserve">tego rozporządzenia </w:t>
            </w:r>
            <w:r w:rsidRPr="00481FD3">
              <w:rPr>
                <w:rFonts w:asciiTheme="minorHAnsi" w:hAnsiTheme="minorHAnsi" w:cstheme="minorHAnsi"/>
                <w:sz w:val="22"/>
                <w:szCs w:val="22"/>
              </w:rPr>
              <w:t xml:space="preserve">przewidują aktualizację danych ewidencji w przypadku zmiany ww. danych, a system teleinformatyczny stosowany do prowadzenia ewidencji powinien w szczególności umożliwiać aktualizację danych w niej zawartych (§ 8). Przepis § 14 ww. rozporządzenia Ministra Rozwoju, Pracy i Technologii stanowi, że organ prowadzący </w:t>
            </w:r>
            <w:r w:rsidR="00095E35" w:rsidRPr="00481FD3">
              <w:rPr>
                <w:rFonts w:asciiTheme="minorHAnsi" w:hAnsiTheme="minorHAnsi" w:cstheme="minorHAnsi"/>
                <w:sz w:val="22"/>
                <w:szCs w:val="22"/>
              </w:rPr>
              <w:t xml:space="preserve">tę ewidencję </w:t>
            </w:r>
            <w:r w:rsidRPr="00481FD3">
              <w:rPr>
                <w:rFonts w:asciiTheme="minorHAnsi" w:hAnsiTheme="minorHAnsi" w:cstheme="minorHAnsi"/>
                <w:sz w:val="22"/>
                <w:szCs w:val="22"/>
              </w:rPr>
              <w:t xml:space="preserve">dostosuje </w:t>
            </w:r>
            <w:r w:rsidR="006701DC">
              <w:rPr>
                <w:rFonts w:asciiTheme="minorHAnsi" w:hAnsiTheme="minorHAnsi" w:cstheme="minorHAnsi"/>
                <w:sz w:val="22"/>
                <w:szCs w:val="22"/>
              </w:rPr>
              <w:t>dotychczasową ewidencję</w:t>
            </w:r>
            <w:r w:rsidRPr="00481FD3">
              <w:rPr>
                <w:rFonts w:asciiTheme="minorHAnsi" w:hAnsiTheme="minorHAnsi" w:cstheme="minorHAnsi"/>
                <w:sz w:val="22"/>
                <w:szCs w:val="22"/>
              </w:rPr>
              <w:t xml:space="preserve"> do wymogów ww. rozporządzenia w </w:t>
            </w:r>
            <w:r w:rsidRPr="00481FD3">
              <w:rPr>
                <w:rFonts w:asciiTheme="minorHAnsi" w:hAnsiTheme="minorHAnsi" w:cstheme="minorHAnsi"/>
                <w:sz w:val="22"/>
                <w:szCs w:val="22"/>
              </w:rPr>
              <w:lastRenderedPageBreak/>
              <w:t xml:space="preserve">terminie 6 miesięcy od dnia jego wejścia w życie, co przypadło na początek 2022 r. Z tego względu </w:t>
            </w:r>
            <w:r w:rsidR="006701DC">
              <w:rPr>
                <w:rFonts w:asciiTheme="minorHAnsi" w:hAnsiTheme="minorHAnsi" w:cstheme="minorHAnsi"/>
                <w:sz w:val="22"/>
                <w:szCs w:val="22"/>
              </w:rPr>
              <w:t>należy przyjąć</w:t>
            </w:r>
            <w:r w:rsidRPr="00481FD3">
              <w:rPr>
                <w:rFonts w:asciiTheme="minorHAnsi" w:hAnsiTheme="minorHAnsi" w:cstheme="minorHAnsi"/>
                <w:sz w:val="22"/>
                <w:szCs w:val="22"/>
              </w:rPr>
              <w:t xml:space="preserve">, że nie wystąpią dodatkowe koszty związane z przepisami przewidzianymi w projektowanej ustawie. Biorąc pod uwagę, że </w:t>
            </w:r>
            <w:proofErr w:type="spellStart"/>
            <w:r w:rsidRPr="00481FD3">
              <w:rPr>
                <w:rFonts w:asciiTheme="minorHAnsi" w:hAnsiTheme="minorHAnsi" w:cstheme="minorHAnsi"/>
                <w:sz w:val="22"/>
                <w:szCs w:val="22"/>
              </w:rPr>
              <w:t>EMUiA</w:t>
            </w:r>
            <w:proofErr w:type="spellEnd"/>
            <w:r w:rsidRPr="00481FD3">
              <w:rPr>
                <w:rFonts w:asciiTheme="minorHAnsi" w:hAnsiTheme="minorHAnsi" w:cstheme="minorHAnsi"/>
                <w:sz w:val="22"/>
                <w:szCs w:val="22"/>
              </w:rPr>
              <w:t xml:space="preserve"> jest rejestrem referencyjnym w stosunku do adresów, pozostałe rejestry gminne, prowadzone w systemach teleinformatycznych, powinny odwoływać się bezpośrednio do danych zawartych w tej ewidencji. </w:t>
            </w:r>
          </w:p>
          <w:p w14:paraId="1260E1CD" w14:textId="77777777" w:rsidR="00B80152" w:rsidRPr="00481FD3" w:rsidRDefault="00B80152" w:rsidP="00B80152">
            <w:pPr>
              <w:pStyle w:val="Akapitzlist"/>
              <w:numPr>
                <w:ilvl w:val="0"/>
                <w:numId w:val="5"/>
              </w:numPr>
              <w:autoSpaceDE w:val="0"/>
              <w:autoSpaceDN w:val="0"/>
              <w:ind w:left="357" w:hanging="357"/>
              <w:jc w:val="both"/>
              <w:rPr>
                <w:rFonts w:asciiTheme="minorHAnsi" w:hAnsiTheme="minorHAnsi" w:cstheme="minorHAnsi"/>
                <w:sz w:val="22"/>
                <w:szCs w:val="22"/>
              </w:rPr>
            </w:pPr>
            <w:r w:rsidRPr="00481FD3">
              <w:rPr>
                <w:rFonts w:asciiTheme="minorHAnsi" w:hAnsiTheme="minorHAnsi" w:cstheme="minorHAnsi"/>
                <w:sz w:val="22"/>
                <w:szCs w:val="22"/>
              </w:rPr>
              <w:t>Inną ważną ewidencją jest prowadzona przez starostów ewidencja gruntów i budynków (</w:t>
            </w:r>
            <w:proofErr w:type="spellStart"/>
            <w:r w:rsidRPr="00481FD3">
              <w:rPr>
                <w:rFonts w:asciiTheme="minorHAnsi" w:hAnsiTheme="minorHAnsi" w:cstheme="minorHAnsi"/>
                <w:sz w:val="22"/>
                <w:szCs w:val="22"/>
              </w:rPr>
              <w:t>EGiB</w:t>
            </w:r>
            <w:proofErr w:type="spellEnd"/>
            <w:r w:rsidRPr="00481FD3">
              <w:rPr>
                <w:rFonts w:asciiTheme="minorHAnsi" w:hAnsiTheme="minorHAnsi" w:cstheme="minorHAnsi"/>
                <w:sz w:val="22"/>
                <w:szCs w:val="22"/>
              </w:rPr>
              <w:t xml:space="preserve">). Zarówno przepisy regulujące funkcjonowanie </w:t>
            </w:r>
            <w:proofErr w:type="spellStart"/>
            <w:r w:rsidRPr="00481FD3">
              <w:rPr>
                <w:rFonts w:asciiTheme="minorHAnsi" w:hAnsiTheme="minorHAnsi" w:cstheme="minorHAnsi"/>
                <w:sz w:val="22"/>
                <w:szCs w:val="22"/>
              </w:rPr>
              <w:t>EGiB</w:t>
            </w:r>
            <w:proofErr w:type="spellEnd"/>
            <w:r w:rsidRPr="00481FD3">
              <w:rPr>
                <w:rFonts w:asciiTheme="minorHAnsi" w:hAnsiTheme="minorHAnsi" w:cstheme="minorHAnsi"/>
                <w:sz w:val="22"/>
                <w:szCs w:val="22"/>
              </w:rPr>
              <w:t>, jak i zintegrowanego systemu informacji o nieruchomościach (</w:t>
            </w:r>
            <w:proofErr w:type="spellStart"/>
            <w:r w:rsidRPr="00481FD3">
              <w:rPr>
                <w:rFonts w:asciiTheme="minorHAnsi" w:hAnsiTheme="minorHAnsi" w:cstheme="minorHAnsi"/>
                <w:sz w:val="22"/>
                <w:szCs w:val="22"/>
              </w:rPr>
              <w:t>ZSiN</w:t>
            </w:r>
            <w:proofErr w:type="spellEnd"/>
            <w:r w:rsidRPr="00481FD3">
              <w:rPr>
                <w:rFonts w:asciiTheme="minorHAnsi" w:hAnsiTheme="minorHAnsi" w:cstheme="minorHAnsi"/>
                <w:sz w:val="22"/>
                <w:szCs w:val="22"/>
              </w:rPr>
              <w:t xml:space="preserve">), stanowiącego centralną kopię danych </w:t>
            </w:r>
            <w:proofErr w:type="spellStart"/>
            <w:r w:rsidRPr="00481FD3">
              <w:rPr>
                <w:rFonts w:asciiTheme="minorHAnsi" w:hAnsiTheme="minorHAnsi" w:cstheme="minorHAnsi"/>
                <w:sz w:val="22"/>
                <w:szCs w:val="22"/>
              </w:rPr>
              <w:t>EGiB</w:t>
            </w:r>
            <w:proofErr w:type="spellEnd"/>
            <w:r w:rsidRPr="00481FD3">
              <w:rPr>
                <w:rFonts w:asciiTheme="minorHAnsi" w:hAnsiTheme="minorHAnsi" w:cstheme="minorHAnsi"/>
                <w:sz w:val="22"/>
                <w:szCs w:val="22"/>
              </w:rPr>
              <w:t xml:space="preserve">, uwzględniają wykorzystanie identyfikatorów rejestru TERYT. Podobnie więc, jak w przypadku </w:t>
            </w:r>
            <w:proofErr w:type="spellStart"/>
            <w:r w:rsidRPr="00481FD3">
              <w:rPr>
                <w:rFonts w:asciiTheme="minorHAnsi" w:hAnsiTheme="minorHAnsi" w:cstheme="minorHAnsi"/>
                <w:sz w:val="22"/>
                <w:szCs w:val="22"/>
              </w:rPr>
              <w:t>EMUiA</w:t>
            </w:r>
            <w:proofErr w:type="spellEnd"/>
            <w:r w:rsidRPr="00481FD3">
              <w:rPr>
                <w:rFonts w:asciiTheme="minorHAnsi" w:hAnsiTheme="minorHAnsi" w:cstheme="minorHAnsi"/>
                <w:sz w:val="22"/>
                <w:szCs w:val="22"/>
              </w:rPr>
              <w:t>, można uznać, że ewidencja ta spełnia obowiązek stosowania rejestru TERYT i nie mieści się w grupie rejestrów wymagających przygotowania nowych rozwiązań informatycznych generujących dodatkowe koszty.</w:t>
            </w:r>
          </w:p>
          <w:p w14:paraId="29C341E7" w14:textId="77777777" w:rsidR="00B80152" w:rsidRPr="00481FD3" w:rsidRDefault="00B80152" w:rsidP="00B80152">
            <w:pPr>
              <w:pStyle w:val="Akapitzlist"/>
              <w:numPr>
                <w:ilvl w:val="0"/>
                <w:numId w:val="7"/>
              </w:numPr>
              <w:autoSpaceDE w:val="0"/>
              <w:autoSpaceDN w:val="0"/>
              <w:adjustRightInd w:val="0"/>
              <w:ind w:left="357" w:hanging="357"/>
              <w:contextualSpacing w:val="0"/>
              <w:jc w:val="both"/>
              <w:rPr>
                <w:rFonts w:asciiTheme="minorHAnsi" w:hAnsiTheme="minorHAnsi" w:cstheme="minorHAnsi"/>
                <w:vanish/>
                <w:color w:val="000000"/>
                <w:sz w:val="22"/>
                <w:szCs w:val="22"/>
              </w:rPr>
            </w:pPr>
          </w:p>
          <w:p w14:paraId="42C3F8E2" w14:textId="77777777" w:rsidR="00B80152" w:rsidRPr="00481FD3" w:rsidRDefault="00B80152" w:rsidP="00B80152">
            <w:pPr>
              <w:pStyle w:val="Akapitzlist"/>
              <w:numPr>
                <w:ilvl w:val="0"/>
                <w:numId w:val="7"/>
              </w:numPr>
              <w:autoSpaceDE w:val="0"/>
              <w:autoSpaceDN w:val="0"/>
              <w:adjustRightInd w:val="0"/>
              <w:ind w:left="357" w:hanging="357"/>
              <w:contextualSpacing w:val="0"/>
              <w:jc w:val="both"/>
              <w:rPr>
                <w:rFonts w:asciiTheme="minorHAnsi" w:hAnsiTheme="minorHAnsi" w:cstheme="minorHAnsi"/>
                <w:vanish/>
                <w:color w:val="000000"/>
                <w:sz w:val="22"/>
                <w:szCs w:val="22"/>
              </w:rPr>
            </w:pPr>
          </w:p>
          <w:p w14:paraId="732FD841" w14:textId="77777777" w:rsidR="00B80152" w:rsidRPr="00481FD3" w:rsidRDefault="00B80152" w:rsidP="00B80152">
            <w:pPr>
              <w:pStyle w:val="Akapitzlist"/>
              <w:numPr>
                <w:ilvl w:val="0"/>
                <w:numId w:val="7"/>
              </w:numPr>
              <w:autoSpaceDE w:val="0"/>
              <w:autoSpaceDN w:val="0"/>
              <w:adjustRightInd w:val="0"/>
              <w:ind w:left="357" w:hanging="357"/>
              <w:contextualSpacing w:val="0"/>
              <w:jc w:val="both"/>
              <w:rPr>
                <w:rFonts w:asciiTheme="minorHAnsi" w:hAnsiTheme="minorHAnsi" w:cstheme="minorHAnsi"/>
                <w:vanish/>
                <w:color w:val="000000"/>
                <w:sz w:val="22"/>
                <w:szCs w:val="22"/>
              </w:rPr>
            </w:pPr>
          </w:p>
          <w:p w14:paraId="7574A4AE" w14:textId="0D8833DF" w:rsidR="00D4447A" w:rsidRPr="00B80152" w:rsidRDefault="00B80152" w:rsidP="00B80152">
            <w:pPr>
              <w:pStyle w:val="Akapitzlist"/>
              <w:numPr>
                <w:ilvl w:val="0"/>
                <w:numId w:val="7"/>
              </w:numPr>
              <w:autoSpaceDE w:val="0"/>
              <w:autoSpaceDN w:val="0"/>
              <w:adjustRightInd w:val="0"/>
              <w:ind w:left="357" w:hanging="357"/>
              <w:contextualSpacing w:val="0"/>
              <w:jc w:val="both"/>
              <w:rPr>
                <w:rFonts w:asciiTheme="minorHAnsi" w:hAnsiTheme="minorHAnsi" w:cstheme="minorHAnsi"/>
                <w:sz w:val="22"/>
                <w:szCs w:val="22"/>
              </w:rPr>
            </w:pPr>
            <w:r w:rsidRPr="00B80152">
              <w:rPr>
                <w:rFonts w:asciiTheme="minorHAnsi" w:hAnsiTheme="minorHAnsi" w:cstheme="minorHAnsi"/>
                <w:sz w:val="22"/>
                <w:szCs w:val="22"/>
              </w:rPr>
              <w:t xml:space="preserve">Biorąc pod uwagę, że dotychczasowy sposób przedstawienia zagadnienia w OSR projektowanej ustawy mógł budzić wątpliwości interpretacyjne, przeredagowano zapisy ujęte w dokumencie. Obecne zapisy precyzyjniej wskazują intencje projektodawcy. </w:t>
            </w:r>
          </w:p>
        </w:tc>
      </w:tr>
    </w:tbl>
    <w:p w14:paraId="3BB6017E" w14:textId="77777777" w:rsidR="00C64B1B" w:rsidRDefault="00C64B1B" w:rsidP="00721B47"/>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65FBE" w14:textId="77777777" w:rsidR="0016616A" w:rsidRDefault="0016616A" w:rsidP="00AD0B08">
      <w:r>
        <w:separator/>
      </w:r>
    </w:p>
  </w:endnote>
  <w:endnote w:type="continuationSeparator" w:id="0">
    <w:p w14:paraId="7786409B" w14:textId="77777777" w:rsidR="0016616A" w:rsidRDefault="0016616A" w:rsidP="00AD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altName w:val="Segoe UI"/>
    <w:charset w:val="EE"/>
    <w:family w:val="swiss"/>
    <w:pitch w:val="variable"/>
    <w:sig w:usb0="800000AF" w:usb1="4000604A"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65EE8" w14:textId="77777777" w:rsidR="0016616A" w:rsidRDefault="0016616A" w:rsidP="00AD0B08">
      <w:r>
        <w:separator/>
      </w:r>
    </w:p>
  </w:footnote>
  <w:footnote w:type="continuationSeparator" w:id="0">
    <w:p w14:paraId="7F6831B6" w14:textId="77777777" w:rsidR="0016616A" w:rsidRDefault="0016616A" w:rsidP="00AD0B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81867"/>
    <w:multiLevelType w:val="hybridMultilevel"/>
    <w:tmpl w:val="57083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F5D87"/>
    <w:multiLevelType w:val="hybridMultilevel"/>
    <w:tmpl w:val="75B8B862"/>
    <w:lvl w:ilvl="0" w:tplc="04ACA7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9FA4A71"/>
    <w:multiLevelType w:val="hybridMultilevel"/>
    <w:tmpl w:val="6978A1C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3E92895"/>
    <w:multiLevelType w:val="hybridMultilevel"/>
    <w:tmpl w:val="C6345C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C171EDD"/>
    <w:multiLevelType w:val="hybridMultilevel"/>
    <w:tmpl w:val="1D6C11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F1614B1"/>
    <w:multiLevelType w:val="hybridMultilevel"/>
    <w:tmpl w:val="24541FCA"/>
    <w:lvl w:ilvl="0" w:tplc="D17404D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7073270"/>
    <w:multiLevelType w:val="hybridMultilevel"/>
    <w:tmpl w:val="1F401B34"/>
    <w:lvl w:ilvl="0" w:tplc="B55C2B44">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3D09"/>
    <w:rsid w:val="00012D95"/>
    <w:rsid w:val="00030C33"/>
    <w:rsid w:val="00034258"/>
    <w:rsid w:val="000811C4"/>
    <w:rsid w:val="00091D85"/>
    <w:rsid w:val="00095E35"/>
    <w:rsid w:val="001378E6"/>
    <w:rsid w:val="00140BE8"/>
    <w:rsid w:val="001601C4"/>
    <w:rsid w:val="0016616A"/>
    <w:rsid w:val="00170F99"/>
    <w:rsid w:val="00187443"/>
    <w:rsid w:val="0019648E"/>
    <w:rsid w:val="001A7E46"/>
    <w:rsid w:val="001B5E36"/>
    <w:rsid w:val="001B7180"/>
    <w:rsid w:val="001B7929"/>
    <w:rsid w:val="001E7BA2"/>
    <w:rsid w:val="002348ED"/>
    <w:rsid w:val="00236EAB"/>
    <w:rsid w:val="002715B2"/>
    <w:rsid w:val="002960BC"/>
    <w:rsid w:val="002A34A5"/>
    <w:rsid w:val="002C2F61"/>
    <w:rsid w:val="002D04AA"/>
    <w:rsid w:val="002D5739"/>
    <w:rsid w:val="002F3687"/>
    <w:rsid w:val="003124D1"/>
    <w:rsid w:val="00321842"/>
    <w:rsid w:val="00337298"/>
    <w:rsid w:val="00344FFC"/>
    <w:rsid w:val="00377BEC"/>
    <w:rsid w:val="003840B3"/>
    <w:rsid w:val="003B4105"/>
    <w:rsid w:val="003C400F"/>
    <w:rsid w:val="00445B22"/>
    <w:rsid w:val="00446F29"/>
    <w:rsid w:val="00455C6B"/>
    <w:rsid w:val="00493031"/>
    <w:rsid w:val="004A0810"/>
    <w:rsid w:val="004D086F"/>
    <w:rsid w:val="004E6138"/>
    <w:rsid w:val="004F426E"/>
    <w:rsid w:val="00533E52"/>
    <w:rsid w:val="0053676D"/>
    <w:rsid w:val="0056146A"/>
    <w:rsid w:val="0059768A"/>
    <w:rsid w:val="00597A1C"/>
    <w:rsid w:val="00597B57"/>
    <w:rsid w:val="005A6E79"/>
    <w:rsid w:val="005C007A"/>
    <w:rsid w:val="005F6527"/>
    <w:rsid w:val="00606F0D"/>
    <w:rsid w:val="00657810"/>
    <w:rsid w:val="006701DC"/>
    <w:rsid w:val="006705EC"/>
    <w:rsid w:val="006D450A"/>
    <w:rsid w:val="006E16E9"/>
    <w:rsid w:val="006F4489"/>
    <w:rsid w:val="00710A8A"/>
    <w:rsid w:val="00721B47"/>
    <w:rsid w:val="0076055E"/>
    <w:rsid w:val="00764BB7"/>
    <w:rsid w:val="007B40C6"/>
    <w:rsid w:val="007C3EF0"/>
    <w:rsid w:val="007C72B1"/>
    <w:rsid w:val="007D77FC"/>
    <w:rsid w:val="007F41D9"/>
    <w:rsid w:val="00807385"/>
    <w:rsid w:val="008316AF"/>
    <w:rsid w:val="0084149E"/>
    <w:rsid w:val="00851B40"/>
    <w:rsid w:val="00887784"/>
    <w:rsid w:val="0089489B"/>
    <w:rsid w:val="008B1421"/>
    <w:rsid w:val="008B3F51"/>
    <w:rsid w:val="008C3D41"/>
    <w:rsid w:val="00944932"/>
    <w:rsid w:val="0098743E"/>
    <w:rsid w:val="009A59FB"/>
    <w:rsid w:val="009D2AB4"/>
    <w:rsid w:val="009D30DC"/>
    <w:rsid w:val="009D40D7"/>
    <w:rsid w:val="009E5FDB"/>
    <w:rsid w:val="00A06425"/>
    <w:rsid w:val="00A42E46"/>
    <w:rsid w:val="00A45996"/>
    <w:rsid w:val="00A74B27"/>
    <w:rsid w:val="00AB450C"/>
    <w:rsid w:val="00AB6A07"/>
    <w:rsid w:val="00AC568B"/>
    <w:rsid w:val="00AC7796"/>
    <w:rsid w:val="00AD0B08"/>
    <w:rsid w:val="00AE5155"/>
    <w:rsid w:val="00AE776E"/>
    <w:rsid w:val="00B1057D"/>
    <w:rsid w:val="00B80152"/>
    <w:rsid w:val="00B82676"/>
    <w:rsid w:val="00B871B6"/>
    <w:rsid w:val="00B92627"/>
    <w:rsid w:val="00BA49BA"/>
    <w:rsid w:val="00BA622E"/>
    <w:rsid w:val="00C05BAF"/>
    <w:rsid w:val="00C05FDD"/>
    <w:rsid w:val="00C409F9"/>
    <w:rsid w:val="00C54E1C"/>
    <w:rsid w:val="00C64B1B"/>
    <w:rsid w:val="00C82261"/>
    <w:rsid w:val="00C90CA5"/>
    <w:rsid w:val="00CB124E"/>
    <w:rsid w:val="00CD5EB0"/>
    <w:rsid w:val="00CE275C"/>
    <w:rsid w:val="00CF2ED2"/>
    <w:rsid w:val="00D12C58"/>
    <w:rsid w:val="00D4447A"/>
    <w:rsid w:val="00D65D3F"/>
    <w:rsid w:val="00D76FDF"/>
    <w:rsid w:val="00DA3990"/>
    <w:rsid w:val="00DB5B56"/>
    <w:rsid w:val="00E00B7F"/>
    <w:rsid w:val="00E03AB6"/>
    <w:rsid w:val="00E05446"/>
    <w:rsid w:val="00E14C33"/>
    <w:rsid w:val="00E2058A"/>
    <w:rsid w:val="00E30EDA"/>
    <w:rsid w:val="00E32E26"/>
    <w:rsid w:val="00E415B4"/>
    <w:rsid w:val="00E51DD4"/>
    <w:rsid w:val="00E80102"/>
    <w:rsid w:val="00E92515"/>
    <w:rsid w:val="00EA0CE5"/>
    <w:rsid w:val="00EB58DD"/>
    <w:rsid w:val="00F51A70"/>
    <w:rsid w:val="00F56D81"/>
    <w:rsid w:val="00F84D64"/>
    <w:rsid w:val="00FA3144"/>
    <w:rsid w:val="00FC51A1"/>
    <w:rsid w:val="00FD07F1"/>
    <w:rsid w:val="00FE7F91"/>
    <w:rsid w:val="00FF1E35"/>
    <w:rsid w:val="00FF3596"/>
    <w:rsid w:val="00FF48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0E5C59"/>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SzanownaPani">
    <w:name w:val="Szanowna Pani"/>
    <w:basedOn w:val="Normalny"/>
    <w:rsid w:val="00E92515"/>
    <w:pPr>
      <w:spacing w:before="240" w:line="260" w:lineRule="exact"/>
      <w:contextualSpacing/>
    </w:pPr>
    <w:rPr>
      <w:rFonts w:ascii="Lato" w:eastAsiaTheme="minorHAnsi" w:hAnsi="Lato" w:cstheme="minorBidi"/>
      <w:sz w:val="22"/>
      <w:szCs w:val="22"/>
      <w:lang w:eastAsia="en-US"/>
    </w:rPr>
  </w:style>
  <w:style w:type="paragraph" w:styleId="Akapitzlist">
    <w:name w:val="List Paragraph"/>
    <w:basedOn w:val="Normalny"/>
    <w:uiPriority w:val="34"/>
    <w:qFormat/>
    <w:rsid w:val="00E92515"/>
    <w:pPr>
      <w:ind w:left="720"/>
      <w:contextualSpacing/>
    </w:pPr>
  </w:style>
  <w:style w:type="paragraph" w:customStyle="1" w:styleId="Default">
    <w:name w:val="Default"/>
    <w:rsid w:val="00B80152"/>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00DFC-A9E2-4377-811E-5C77E253C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1451</Words>
  <Characters>8707</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Żardecki Adam</cp:lastModifiedBy>
  <cp:revision>8</cp:revision>
  <dcterms:created xsi:type="dcterms:W3CDTF">2025-05-26T14:06:00Z</dcterms:created>
  <dcterms:modified xsi:type="dcterms:W3CDTF">2025-05-27T11:41:00Z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UxC4dwLulzfINJ8nQH+xvX5LNGipWa4BRSZhPgxsCvlSIB4Sfc0GBSVZ1JVj9a5FV2ifZakLRhrlFDC9kVkYCQ==</vt:lpwstr>
  </property>
  <property fmtid="{D5CDD505-2E9C-101B-9397-08002B2CF9AE}" pid="4" name="MFClassificationDate">
    <vt:lpwstr>2025-03-20T14:25:22.3194827+01:00</vt:lpwstr>
  </property>
  <property fmtid="{D5CDD505-2E9C-101B-9397-08002B2CF9AE}" pid="5" name="MFClassifiedBySID">
    <vt:lpwstr>UxC4dwLulzfINJ8nQH+xvX5LNGipWa4BRSZhPgxsCvm42mrIC/DSDv0ggS+FjUN/2v1BBotkLlY5aAiEhoi6uS1fuNqFQJd1PKCMn5FHFmvaSnU5Ar9c0UlZERozALr4</vt:lpwstr>
  </property>
  <property fmtid="{D5CDD505-2E9C-101B-9397-08002B2CF9AE}" pid="6" name="MFGRNItemId">
    <vt:lpwstr>GRN-8d521eda-6a3a-4298-9af3-d83ba30d94de</vt:lpwstr>
  </property>
  <property fmtid="{D5CDD505-2E9C-101B-9397-08002B2CF9AE}" pid="7" name="MFHash">
    <vt:lpwstr>RN5udqLtfZcVF/RX6J3d5SCLfYEYgJU8nrUN7puUK+I=</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